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6DB20" w14:textId="2EA0B299" w:rsidR="009D09FB" w:rsidRPr="00A90E5F" w:rsidRDefault="009D09FB" w:rsidP="00A90E5F">
      <w:pPr>
        <w:tabs>
          <w:tab w:val="left" w:pos="284"/>
        </w:tabs>
        <w:spacing w:line="340" w:lineRule="exact"/>
        <w:jc w:val="center"/>
        <w:rPr>
          <w:sz w:val="22"/>
          <w:szCs w:val="22"/>
          <w:lang w:eastAsia="en-US"/>
        </w:rPr>
      </w:pPr>
      <w:bookmarkStart w:id="0" w:name="_Toc73558297"/>
      <w:bookmarkStart w:id="1" w:name="_Toc73559158"/>
      <w:bookmarkStart w:id="2" w:name="_Toc73559264"/>
      <w:bookmarkStart w:id="3" w:name="_Toc73736931"/>
      <w:bookmarkStart w:id="4" w:name="_Toc73093137"/>
      <w:bookmarkStart w:id="5" w:name="_Toc73558298"/>
      <w:bookmarkStart w:id="6" w:name="_Toc73559159"/>
      <w:bookmarkStart w:id="7" w:name="_Toc73559265"/>
      <w:bookmarkStart w:id="8" w:name="_Toc73736932"/>
      <w:r w:rsidRPr="00A90E5F">
        <w:rPr>
          <w:sz w:val="22"/>
          <w:szCs w:val="22"/>
          <w:lang w:eastAsia="en-US"/>
        </w:rPr>
        <w:t>MINISTRY OF EDUCATION AND TRAINING    MINISTRY OF NATIONAL DEFENCE</w:t>
      </w:r>
    </w:p>
    <w:p w14:paraId="06C5E301" w14:textId="34CDAAF1" w:rsidR="00F9486B" w:rsidRPr="00A90E5F" w:rsidRDefault="009D09FB" w:rsidP="00A90E5F">
      <w:pPr>
        <w:tabs>
          <w:tab w:val="left" w:pos="284"/>
        </w:tabs>
        <w:spacing w:line="340" w:lineRule="exact"/>
        <w:rPr>
          <w:b/>
          <w:bCs/>
          <w:sz w:val="22"/>
          <w:szCs w:val="22"/>
          <w:lang w:eastAsia="en-US"/>
        </w:rPr>
      </w:pPr>
      <w:r w:rsidRPr="00A90E5F">
        <w:rPr>
          <w:b/>
          <w:bCs/>
          <w:noProof/>
          <w:sz w:val="22"/>
          <w:szCs w:val="22"/>
          <w:lang w:eastAsia="en-US"/>
        </w:rPr>
        <mc:AlternateContent>
          <mc:Choice Requires="wps">
            <w:drawing>
              <wp:anchor distT="0" distB="0" distL="114300" distR="114300" simplePos="0" relativeHeight="250948608" behindDoc="0" locked="0" layoutInCell="1" allowOverlap="1" wp14:anchorId="47CA0E81" wp14:editId="74CBB993">
                <wp:simplePos x="0" y="0"/>
                <wp:positionH relativeFrom="margin">
                  <wp:posOffset>1275108</wp:posOffset>
                </wp:positionH>
                <wp:positionV relativeFrom="paragraph">
                  <wp:posOffset>243442</wp:posOffset>
                </wp:positionV>
                <wp:extent cx="974690"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97469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1C83EE" id="Straight Connector 62" o:spid="_x0000_s1026" style="position:absolute;z-index:250948608;visibility:visible;mso-wrap-style:square;mso-wrap-distance-left:9pt;mso-wrap-distance-top:0;mso-wrap-distance-right:9pt;mso-wrap-distance-bottom:0;mso-position-horizontal:absolute;mso-position-horizontal-relative:margin;mso-position-vertical:absolute;mso-position-vertical-relative:text" from="100.4pt,19.15pt" to="177.1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" strokecolor="black [3200]" strokeweight="1.5pt">
                <v:stroke joinstyle="miter"/>
                <w10:wrap anchorx="margin"/>
              </v:line>
            </w:pict>
          </mc:Fallback>
        </mc:AlternateContent>
      </w:r>
      <w:r w:rsidRPr="00A90E5F">
        <w:rPr>
          <w:b/>
          <w:bCs/>
          <w:sz w:val="22"/>
          <w:szCs w:val="22"/>
          <w:lang w:eastAsia="en-US"/>
        </w:rPr>
        <w:t xml:space="preserve">VIETNAM </w:t>
      </w:r>
      <w:r w:rsidR="00F9486B" w:rsidRPr="00A90E5F">
        <w:rPr>
          <w:b/>
          <w:bCs/>
          <w:sz w:val="22"/>
          <w:szCs w:val="22"/>
          <w:lang w:eastAsia="en-US"/>
        </w:rPr>
        <w:t xml:space="preserve">MILITARY MEDICAL </w:t>
      </w:r>
      <w:r w:rsidRPr="00A90E5F">
        <w:rPr>
          <w:b/>
          <w:bCs/>
          <w:sz w:val="22"/>
          <w:szCs w:val="22"/>
          <w:lang w:eastAsia="en-US"/>
        </w:rPr>
        <w:t>UNIVERSITY</w:t>
      </w:r>
    </w:p>
    <w:p w14:paraId="03A35CF2" w14:textId="77777777" w:rsidR="00F9486B" w:rsidRPr="00A90E5F" w:rsidRDefault="00F9486B" w:rsidP="00A90E5F">
      <w:pPr>
        <w:tabs>
          <w:tab w:val="left" w:pos="284"/>
        </w:tabs>
        <w:spacing w:line="340" w:lineRule="exact"/>
        <w:rPr>
          <w:b/>
          <w:sz w:val="22"/>
          <w:szCs w:val="22"/>
          <w:lang w:eastAsia="en-US"/>
        </w:rPr>
      </w:pPr>
    </w:p>
    <w:p w14:paraId="7FD1C797" w14:textId="259698AB" w:rsidR="00DF73CF" w:rsidRDefault="009C6A63" w:rsidP="00A90E5F">
      <w:pPr>
        <w:tabs>
          <w:tab w:val="left" w:pos="284"/>
        </w:tabs>
        <w:spacing w:line="340" w:lineRule="exact"/>
        <w:rPr>
          <w:b/>
          <w:sz w:val="22"/>
          <w:szCs w:val="22"/>
          <w:lang w:eastAsia="en-US"/>
        </w:rPr>
      </w:pPr>
      <w:r w:rsidRPr="00A90E5F">
        <w:rPr>
          <w:b/>
          <w:sz w:val="22"/>
          <w:szCs w:val="22"/>
          <w:lang w:eastAsia="en-US"/>
        </w:rPr>
        <w:tab/>
      </w:r>
      <w:r w:rsidRPr="00A90E5F">
        <w:rPr>
          <w:b/>
          <w:sz w:val="22"/>
          <w:szCs w:val="22"/>
          <w:lang w:eastAsia="en-US"/>
        </w:rPr>
        <w:tab/>
      </w:r>
    </w:p>
    <w:p w14:paraId="6096AF21" w14:textId="77777777" w:rsidR="00A90E5F" w:rsidRDefault="00A90E5F" w:rsidP="00A90E5F">
      <w:pPr>
        <w:tabs>
          <w:tab w:val="left" w:pos="284"/>
        </w:tabs>
        <w:spacing w:line="340" w:lineRule="exact"/>
        <w:rPr>
          <w:b/>
          <w:sz w:val="22"/>
          <w:szCs w:val="22"/>
          <w:lang w:eastAsia="en-US"/>
        </w:rPr>
      </w:pPr>
    </w:p>
    <w:p w14:paraId="3FDF67CB" w14:textId="77777777" w:rsidR="00A90E5F" w:rsidRPr="00A90E5F" w:rsidRDefault="00A90E5F" w:rsidP="00A90E5F">
      <w:pPr>
        <w:tabs>
          <w:tab w:val="left" w:pos="284"/>
        </w:tabs>
        <w:spacing w:line="340" w:lineRule="exact"/>
        <w:rPr>
          <w:b/>
          <w:sz w:val="22"/>
          <w:szCs w:val="22"/>
          <w:lang w:eastAsia="en-US"/>
        </w:rPr>
      </w:pPr>
    </w:p>
    <w:p w14:paraId="727253B1" w14:textId="2D3169C3" w:rsidR="00F9486B" w:rsidRPr="00A90E5F" w:rsidRDefault="00F9486B" w:rsidP="00A90E5F">
      <w:pPr>
        <w:tabs>
          <w:tab w:val="left" w:pos="284"/>
        </w:tabs>
        <w:spacing w:line="340" w:lineRule="exact"/>
        <w:jc w:val="center"/>
        <w:rPr>
          <w:b/>
          <w:sz w:val="22"/>
          <w:szCs w:val="22"/>
          <w:lang w:eastAsia="en-US"/>
        </w:rPr>
      </w:pPr>
      <w:r w:rsidRPr="00A90E5F">
        <w:rPr>
          <w:b/>
          <w:sz w:val="22"/>
          <w:szCs w:val="22"/>
          <w:lang w:eastAsia="en-US"/>
        </w:rPr>
        <w:t>NGUYEN TRUONG THIEN</w:t>
      </w:r>
    </w:p>
    <w:p w14:paraId="2701A94F" w14:textId="77777777" w:rsidR="00F9486B" w:rsidRPr="00A90E5F" w:rsidRDefault="00F9486B" w:rsidP="00A90E5F">
      <w:pPr>
        <w:tabs>
          <w:tab w:val="left" w:pos="284"/>
        </w:tabs>
        <w:spacing w:line="340" w:lineRule="exact"/>
        <w:rPr>
          <w:sz w:val="22"/>
          <w:szCs w:val="22"/>
          <w:lang w:val="en-US" w:eastAsia="en-US"/>
        </w:rPr>
      </w:pPr>
    </w:p>
    <w:p w14:paraId="7F853C84" w14:textId="77777777" w:rsidR="00DF0370" w:rsidRPr="00A90E5F" w:rsidRDefault="00DF0370" w:rsidP="00A90E5F">
      <w:pPr>
        <w:tabs>
          <w:tab w:val="left" w:pos="284"/>
        </w:tabs>
        <w:spacing w:line="340" w:lineRule="exact"/>
        <w:rPr>
          <w:b/>
          <w:sz w:val="22"/>
          <w:szCs w:val="22"/>
          <w:lang w:eastAsia="en-US"/>
        </w:rPr>
      </w:pPr>
    </w:p>
    <w:p w14:paraId="1403DABF" w14:textId="77777777" w:rsidR="00DF0370" w:rsidRPr="00A90E5F" w:rsidRDefault="00DF0370" w:rsidP="00A90E5F">
      <w:pPr>
        <w:tabs>
          <w:tab w:val="left" w:pos="284"/>
        </w:tabs>
        <w:spacing w:line="340" w:lineRule="exact"/>
        <w:rPr>
          <w:b/>
          <w:sz w:val="22"/>
          <w:szCs w:val="22"/>
          <w:lang w:eastAsia="en-US"/>
        </w:rPr>
      </w:pPr>
    </w:p>
    <w:p w14:paraId="20A6AB53" w14:textId="77777777" w:rsidR="009D09FB" w:rsidRPr="00A90E5F" w:rsidRDefault="009D09FB" w:rsidP="00A90E5F">
      <w:pPr>
        <w:tabs>
          <w:tab w:val="left" w:pos="284"/>
        </w:tabs>
        <w:spacing w:line="340" w:lineRule="exact"/>
        <w:jc w:val="center"/>
        <w:rPr>
          <w:b/>
          <w:sz w:val="22"/>
          <w:szCs w:val="22"/>
          <w:lang w:eastAsia="en-US"/>
        </w:rPr>
      </w:pPr>
      <w:r w:rsidRPr="00A90E5F">
        <w:rPr>
          <w:b/>
          <w:sz w:val="22"/>
          <w:szCs w:val="22"/>
          <w:lang w:eastAsia="en-US"/>
        </w:rPr>
        <w:t>A STUDY ON THE TREATMENT OUTCOMES</w:t>
      </w:r>
    </w:p>
    <w:p w14:paraId="35074E18" w14:textId="383DF761" w:rsidR="009D09FB" w:rsidRPr="00A90E5F" w:rsidRDefault="009D09FB" w:rsidP="00A90E5F">
      <w:pPr>
        <w:tabs>
          <w:tab w:val="left" w:pos="284"/>
        </w:tabs>
        <w:spacing w:line="340" w:lineRule="exact"/>
        <w:jc w:val="center"/>
        <w:rPr>
          <w:b/>
          <w:sz w:val="22"/>
          <w:szCs w:val="22"/>
          <w:lang w:eastAsia="en-US"/>
        </w:rPr>
      </w:pPr>
      <w:r w:rsidRPr="00A90E5F">
        <w:rPr>
          <w:b/>
          <w:sz w:val="22"/>
          <w:szCs w:val="22"/>
          <w:lang w:eastAsia="en-US"/>
        </w:rPr>
        <w:t>STAGE III INVASIVE DUCTAL BREAST CANCER</w:t>
      </w:r>
    </w:p>
    <w:p w14:paraId="23D7041A" w14:textId="744BB85F" w:rsidR="00F9486B" w:rsidRDefault="009D09FB" w:rsidP="00A90E5F">
      <w:pPr>
        <w:tabs>
          <w:tab w:val="left" w:pos="284"/>
        </w:tabs>
        <w:spacing w:line="340" w:lineRule="exact"/>
        <w:jc w:val="center"/>
        <w:rPr>
          <w:b/>
          <w:sz w:val="22"/>
          <w:szCs w:val="22"/>
          <w:lang w:eastAsia="en-US"/>
        </w:rPr>
      </w:pPr>
      <w:r w:rsidRPr="00A90E5F">
        <w:rPr>
          <w:b/>
          <w:sz w:val="22"/>
          <w:szCs w:val="22"/>
          <w:lang w:eastAsia="en-US"/>
        </w:rPr>
        <w:t>BY SURGERY FOLLOWING NEOADJUVANT CHEMOTHERAPY</w:t>
      </w:r>
    </w:p>
    <w:p w14:paraId="5341256A" w14:textId="77777777" w:rsidR="00065409" w:rsidRPr="00A90E5F" w:rsidRDefault="00065409" w:rsidP="00A90E5F">
      <w:pPr>
        <w:tabs>
          <w:tab w:val="left" w:pos="284"/>
        </w:tabs>
        <w:spacing w:line="340" w:lineRule="exact"/>
        <w:jc w:val="center"/>
        <w:rPr>
          <w:b/>
          <w:bCs/>
          <w:i/>
          <w:iCs/>
          <w:sz w:val="22"/>
          <w:szCs w:val="22"/>
          <w:lang w:val="en-US" w:eastAsia="en-US"/>
        </w:rPr>
      </w:pPr>
    </w:p>
    <w:p w14:paraId="5D5F4881" w14:textId="228EF416" w:rsidR="00346F5C" w:rsidRPr="00346F5C" w:rsidRDefault="00346F5C" w:rsidP="00D8565D">
      <w:pPr>
        <w:spacing w:line="340" w:lineRule="exact"/>
        <w:jc w:val="center"/>
        <w:rPr>
          <w:color w:val="auto"/>
          <w:sz w:val="24"/>
          <w:szCs w:val="24"/>
          <w:lang w:val="en-US" w:eastAsia="en-US"/>
        </w:rPr>
      </w:pPr>
      <w:r w:rsidRPr="00346F5C">
        <w:rPr>
          <w:color w:val="auto"/>
          <w:sz w:val="24"/>
          <w:szCs w:val="24"/>
          <w:lang w:val="en-US" w:eastAsia="en-US"/>
        </w:rPr>
        <w:t>Specialty: Surgery</w:t>
      </w:r>
    </w:p>
    <w:p w14:paraId="2B6D70A1" w14:textId="5DEB6463" w:rsidR="00346F5C" w:rsidRDefault="00346F5C" w:rsidP="00D8565D">
      <w:pPr>
        <w:spacing w:line="340" w:lineRule="exact"/>
        <w:jc w:val="center"/>
        <w:rPr>
          <w:color w:val="auto"/>
          <w:sz w:val="24"/>
          <w:szCs w:val="24"/>
          <w:lang w:val="en-US" w:eastAsia="en-US"/>
        </w:rPr>
      </w:pPr>
      <w:r w:rsidRPr="00346F5C">
        <w:rPr>
          <w:color w:val="auto"/>
          <w:sz w:val="24"/>
          <w:szCs w:val="24"/>
          <w:lang w:val="en-US" w:eastAsia="en-US"/>
        </w:rPr>
        <w:t>Code: 9720104</w:t>
      </w:r>
    </w:p>
    <w:p w14:paraId="4A7EFA47" w14:textId="77777777" w:rsidR="00065409" w:rsidRPr="00346F5C" w:rsidRDefault="00065409" w:rsidP="00065409">
      <w:pPr>
        <w:spacing w:line="240" w:lineRule="auto"/>
        <w:jc w:val="center"/>
        <w:rPr>
          <w:color w:val="auto"/>
          <w:sz w:val="24"/>
          <w:szCs w:val="24"/>
          <w:lang w:val="en-US" w:eastAsia="en-US"/>
        </w:rPr>
      </w:pPr>
    </w:p>
    <w:p w14:paraId="0972260E" w14:textId="1E30C240" w:rsidR="00DF73CF" w:rsidRPr="00A90E5F" w:rsidRDefault="009D09FB" w:rsidP="00A90E5F">
      <w:pPr>
        <w:tabs>
          <w:tab w:val="left" w:pos="284"/>
        </w:tabs>
        <w:spacing w:line="340" w:lineRule="exact"/>
        <w:jc w:val="center"/>
        <w:rPr>
          <w:sz w:val="22"/>
          <w:szCs w:val="22"/>
          <w:lang w:val="en-US" w:eastAsia="en-US"/>
        </w:rPr>
      </w:pPr>
      <w:r w:rsidRPr="00A90E5F">
        <w:rPr>
          <w:b/>
          <w:bCs/>
          <w:sz w:val="22"/>
          <w:szCs w:val="22"/>
          <w:lang w:eastAsia="en-US"/>
        </w:rPr>
        <w:t>SUMMARY OF THE DOCTORAL DISSERTATION IN MEDICINE</w:t>
      </w:r>
    </w:p>
    <w:p w14:paraId="02EE55F5" w14:textId="02ACD914" w:rsidR="00862184" w:rsidRPr="00A90E5F" w:rsidRDefault="00862184" w:rsidP="00A90E5F">
      <w:pPr>
        <w:tabs>
          <w:tab w:val="left" w:pos="284"/>
        </w:tabs>
        <w:spacing w:line="340" w:lineRule="exact"/>
        <w:rPr>
          <w:sz w:val="22"/>
          <w:szCs w:val="22"/>
          <w:lang w:val="en-US" w:eastAsia="en-US"/>
        </w:rPr>
      </w:pPr>
    </w:p>
    <w:p w14:paraId="3C108379" w14:textId="77777777" w:rsidR="009D09FB" w:rsidRDefault="009D09FB" w:rsidP="00A90E5F">
      <w:pPr>
        <w:tabs>
          <w:tab w:val="left" w:pos="284"/>
        </w:tabs>
        <w:spacing w:line="340" w:lineRule="exact"/>
        <w:rPr>
          <w:sz w:val="22"/>
          <w:szCs w:val="22"/>
          <w:lang w:val="en-US" w:eastAsia="en-US"/>
        </w:rPr>
      </w:pPr>
    </w:p>
    <w:p w14:paraId="33CFF0E2" w14:textId="77777777" w:rsidR="00065409" w:rsidRPr="00A90E5F" w:rsidRDefault="00065409" w:rsidP="00A90E5F">
      <w:pPr>
        <w:tabs>
          <w:tab w:val="left" w:pos="284"/>
        </w:tabs>
        <w:spacing w:line="340" w:lineRule="exact"/>
        <w:rPr>
          <w:sz w:val="22"/>
          <w:szCs w:val="22"/>
          <w:lang w:val="en-US" w:eastAsia="en-US"/>
        </w:rPr>
      </w:pPr>
    </w:p>
    <w:p w14:paraId="5F6737BA" w14:textId="56F98DAF" w:rsidR="00E94152" w:rsidRPr="00A90E5F" w:rsidRDefault="00F9486B" w:rsidP="00A90E5F">
      <w:pPr>
        <w:tabs>
          <w:tab w:val="left" w:pos="284"/>
        </w:tabs>
        <w:spacing w:line="340" w:lineRule="exact"/>
        <w:jc w:val="center"/>
        <w:rPr>
          <w:sz w:val="22"/>
          <w:szCs w:val="22"/>
          <w:lang w:val="en-US" w:eastAsia="en-US"/>
        </w:rPr>
      </w:pPr>
      <w:r w:rsidRPr="00A90E5F">
        <w:rPr>
          <w:sz w:val="22"/>
          <w:szCs w:val="22"/>
          <w:lang w:eastAsia="en-US"/>
        </w:rPr>
        <w:t>HANOI</w:t>
      </w:r>
      <w:r w:rsidR="00903F5B" w:rsidRPr="00A90E5F">
        <w:rPr>
          <w:sz w:val="22"/>
          <w:szCs w:val="22"/>
          <w:lang w:eastAsia="en-US"/>
        </w:rPr>
        <w:t>-</w:t>
      </w:r>
      <w:r w:rsidRPr="00A90E5F">
        <w:rPr>
          <w:sz w:val="22"/>
          <w:szCs w:val="22"/>
          <w:lang w:eastAsia="en-US"/>
        </w:rPr>
        <w:t>2025</w:t>
      </w:r>
    </w:p>
    <w:p w14:paraId="01B5047A" w14:textId="77777777" w:rsidR="009D09FB" w:rsidRPr="00A90E5F" w:rsidRDefault="009D09FB" w:rsidP="00A90E5F">
      <w:pPr>
        <w:tabs>
          <w:tab w:val="left" w:pos="284"/>
        </w:tabs>
        <w:spacing w:line="340" w:lineRule="exact"/>
        <w:jc w:val="center"/>
        <w:rPr>
          <w:sz w:val="22"/>
          <w:szCs w:val="22"/>
          <w:lang w:eastAsia="en-US"/>
        </w:rPr>
      </w:pPr>
      <w:r w:rsidRPr="00A90E5F">
        <w:rPr>
          <w:sz w:val="22"/>
          <w:szCs w:val="22"/>
          <w:lang w:eastAsia="en-US"/>
        </w:rPr>
        <w:lastRenderedPageBreak/>
        <w:t>THIS DISSERTATION WAS COMPLETED AT</w:t>
      </w:r>
    </w:p>
    <w:p w14:paraId="187972F2" w14:textId="77777777" w:rsidR="009D09FB" w:rsidRPr="00A90E5F" w:rsidRDefault="009D09FB" w:rsidP="00A90E5F">
      <w:pPr>
        <w:tabs>
          <w:tab w:val="left" w:pos="284"/>
        </w:tabs>
        <w:spacing w:line="340" w:lineRule="exact"/>
        <w:jc w:val="center"/>
        <w:rPr>
          <w:sz w:val="22"/>
          <w:szCs w:val="22"/>
          <w:lang w:eastAsia="en-US"/>
        </w:rPr>
      </w:pPr>
      <w:r w:rsidRPr="00A90E5F">
        <w:rPr>
          <w:sz w:val="22"/>
          <w:szCs w:val="22"/>
          <w:lang w:eastAsia="en-US"/>
        </w:rPr>
        <w:t>VIETNAM MILITARY MEDICAL UNIVERSITY</w:t>
      </w:r>
    </w:p>
    <w:p w14:paraId="063B715B" w14:textId="77777777" w:rsidR="009D09FB" w:rsidRPr="00A90E5F" w:rsidRDefault="009D09FB" w:rsidP="00A90E5F">
      <w:pPr>
        <w:tabs>
          <w:tab w:val="left" w:pos="284"/>
        </w:tabs>
        <w:spacing w:line="340" w:lineRule="exact"/>
        <w:rPr>
          <w:sz w:val="22"/>
          <w:szCs w:val="22"/>
          <w:lang w:eastAsia="en-US"/>
        </w:rPr>
      </w:pPr>
    </w:p>
    <w:p w14:paraId="72FF6B65" w14:textId="6285222D" w:rsidR="009D09FB" w:rsidRPr="00A90E5F" w:rsidRDefault="009D09FB" w:rsidP="00A90E5F">
      <w:pPr>
        <w:tabs>
          <w:tab w:val="left" w:pos="284"/>
        </w:tabs>
        <w:spacing w:line="340" w:lineRule="exact"/>
        <w:jc w:val="center"/>
        <w:rPr>
          <w:sz w:val="22"/>
          <w:szCs w:val="22"/>
          <w:lang w:eastAsia="en-US"/>
        </w:rPr>
      </w:pPr>
      <w:r w:rsidRPr="00A90E5F">
        <w:rPr>
          <w:b/>
          <w:bCs/>
          <w:sz w:val="22"/>
          <w:szCs w:val="22"/>
          <w:lang w:eastAsia="en-US"/>
        </w:rPr>
        <w:t>Academic Supervisors</w:t>
      </w:r>
      <w:r w:rsidRPr="00A90E5F">
        <w:rPr>
          <w:sz w:val="22"/>
          <w:szCs w:val="22"/>
          <w:lang w:eastAsia="en-US"/>
        </w:rPr>
        <w:t>:</w:t>
      </w:r>
    </w:p>
    <w:p w14:paraId="51D56D2F" w14:textId="78F76080" w:rsidR="009D09FB" w:rsidRPr="00A90E5F" w:rsidRDefault="009D09FB" w:rsidP="00A90E5F">
      <w:pPr>
        <w:tabs>
          <w:tab w:val="left" w:pos="284"/>
          <w:tab w:val="left" w:pos="1418"/>
        </w:tabs>
        <w:spacing w:line="340" w:lineRule="exact"/>
        <w:jc w:val="left"/>
        <w:rPr>
          <w:b/>
          <w:bCs/>
          <w:i/>
          <w:iCs/>
          <w:sz w:val="22"/>
          <w:szCs w:val="22"/>
          <w:lang w:eastAsia="en-US"/>
        </w:rPr>
      </w:pPr>
      <w:r w:rsidRPr="00A90E5F">
        <w:rPr>
          <w:b/>
          <w:bCs/>
          <w:i/>
          <w:iCs/>
          <w:sz w:val="22"/>
          <w:szCs w:val="22"/>
          <w:lang w:eastAsia="en-US"/>
        </w:rPr>
        <w:t xml:space="preserve">     </w:t>
      </w:r>
      <w:r w:rsidR="00A90E5F">
        <w:rPr>
          <w:b/>
          <w:bCs/>
          <w:i/>
          <w:iCs/>
          <w:sz w:val="22"/>
          <w:szCs w:val="22"/>
          <w:lang w:eastAsia="en-US"/>
        </w:rPr>
        <w:tab/>
      </w:r>
      <w:r w:rsidR="00A90E5F">
        <w:rPr>
          <w:b/>
          <w:bCs/>
          <w:i/>
          <w:iCs/>
          <w:sz w:val="22"/>
          <w:szCs w:val="22"/>
          <w:lang w:eastAsia="en-US"/>
        </w:rPr>
        <w:tab/>
      </w:r>
      <w:r w:rsidRPr="00A90E5F">
        <w:rPr>
          <w:b/>
          <w:bCs/>
          <w:i/>
          <w:iCs/>
          <w:sz w:val="22"/>
          <w:szCs w:val="22"/>
          <w:lang w:eastAsia="en-US"/>
        </w:rPr>
        <w:t>1.</w:t>
      </w:r>
      <w:r w:rsidR="00A90E5F">
        <w:rPr>
          <w:b/>
          <w:bCs/>
          <w:i/>
          <w:iCs/>
          <w:sz w:val="22"/>
          <w:szCs w:val="22"/>
          <w:lang w:eastAsia="en-US"/>
        </w:rPr>
        <w:t xml:space="preserve"> </w:t>
      </w:r>
      <w:r w:rsidRPr="00A90E5F">
        <w:rPr>
          <w:b/>
          <w:bCs/>
          <w:i/>
          <w:iCs/>
          <w:sz w:val="22"/>
          <w:szCs w:val="22"/>
          <w:lang w:eastAsia="en-US"/>
        </w:rPr>
        <w:t>Assoc. Prof.</w:t>
      </w:r>
      <w:r w:rsidR="00FD380D">
        <w:rPr>
          <w:b/>
          <w:bCs/>
          <w:i/>
          <w:iCs/>
          <w:sz w:val="22"/>
          <w:szCs w:val="22"/>
          <w:lang w:eastAsia="en-US"/>
        </w:rPr>
        <w:t xml:space="preserve"> </w:t>
      </w:r>
      <w:r w:rsidRPr="00A90E5F">
        <w:rPr>
          <w:b/>
          <w:bCs/>
          <w:i/>
          <w:iCs/>
          <w:sz w:val="22"/>
          <w:szCs w:val="22"/>
          <w:lang w:eastAsia="en-US"/>
        </w:rPr>
        <w:t xml:space="preserve">Le Hong </w:t>
      </w:r>
      <w:r w:rsidR="00FD380D">
        <w:rPr>
          <w:b/>
          <w:bCs/>
          <w:i/>
          <w:iCs/>
          <w:sz w:val="22"/>
          <w:szCs w:val="22"/>
          <w:lang w:eastAsia="en-US"/>
        </w:rPr>
        <w:t>Quang, MD, PhD</w:t>
      </w:r>
    </w:p>
    <w:p w14:paraId="03CA7FF1" w14:textId="7C871082" w:rsidR="009D09FB" w:rsidRPr="00A90E5F" w:rsidRDefault="009D09FB" w:rsidP="00A90E5F">
      <w:pPr>
        <w:tabs>
          <w:tab w:val="left" w:pos="284"/>
          <w:tab w:val="left" w:pos="1418"/>
        </w:tabs>
        <w:spacing w:line="340" w:lineRule="exact"/>
        <w:rPr>
          <w:b/>
          <w:bCs/>
          <w:i/>
          <w:iCs/>
          <w:sz w:val="22"/>
          <w:szCs w:val="22"/>
          <w:lang w:eastAsia="en-US"/>
        </w:rPr>
      </w:pPr>
      <w:r w:rsidRPr="00A90E5F">
        <w:rPr>
          <w:b/>
          <w:bCs/>
          <w:i/>
          <w:iCs/>
          <w:sz w:val="22"/>
          <w:szCs w:val="22"/>
          <w:lang w:eastAsia="en-US"/>
        </w:rPr>
        <w:tab/>
      </w:r>
      <w:r w:rsidRPr="00A90E5F">
        <w:rPr>
          <w:b/>
          <w:bCs/>
          <w:i/>
          <w:iCs/>
          <w:sz w:val="22"/>
          <w:szCs w:val="22"/>
          <w:lang w:eastAsia="en-US"/>
        </w:rPr>
        <w:tab/>
        <w:t>2.</w:t>
      </w:r>
      <w:r w:rsidR="00FD380D">
        <w:rPr>
          <w:b/>
          <w:bCs/>
          <w:i/>
          <w:iCs/>
          <w:sz w:val="22"/>
          <w:szCs w:val="22"/>
          <w:lang w:eastAsia="en-US"/>
        </w:rPr>
        <w:t xml:space="preserve"> </w:t>
      </w:r>
      <w:r w:rsidRPr="00A90E5F">
        <w:rPr>
          <w:b/>
          <w:bCs/>
          <w:i/>
          <w:iCs/>
          <w:sz w:val="22"/>
          <w:szCs w:val="22"/>
          <w:lang w:eastAsia="en-US"/>
        </w:rPr>
        <w:t xml:space="preserve">Assoc. Prof. Nguyen Ngoc </w:t>
      </w:r>
      <w:r w:rsidR="00FD380D">
        <w:rPr>
          <w:b/>
          <w:bCs/>
          <w:i/>
          <w:iCs/>
          <w:sz w:val="22"/>
          <w:szCs w:val="22"/>
          <w:lang w:eastAsia="en-US"/>
        </w:rPr>
        <w:t>Trung, MD, PhD</w:t>
      </w:r>
    </w:p>
    <w:p w14:paraId="0A9AE831" w14:textId="06054033" w:rsidR="009D09FB" w:rsidRPr="00A90E5F" w:rsidRDefault="009D09FB" w:rsidP="00A90E5F">
      <w:pPr>
        <w:tabs>
          <w:tab w:val="left" w:pos="284"/>
        </w:tabs>
        <w:spacing w:line="340" w:lineRule="exact"/>
        <w:rPr>
          <w:sz w:val="22"/>
          <w:szCs w:val="22"/>
          <w:lang w:eastAsia="en-US"/>
        </w:rPr>
      </w:pPr>
    </w:p>
    <w:p w14:paraId="127C9383" w14:textId="5033CECA" w:rsidR="009D09FB" w:rsidRPr="00A90E5F" w:rsidRDefault="009D09FB" w:rsidP="00A90E5F">
      <w:pPr>
        <w:tabs>
          <w:tab w:val="left" w:pos="284"/>
        </w:tabs>
        <w:spacing w:line="340" w:lineRule="exact"/>
        <w:rPr>
          <w:sz w:val="22"/>
          <w:szCs w:val="22"/>
          <w:lang w:eastAsia="en-US"/>
        </w:rPr>
      </w:pPr>
    </w:p>
    <w:p w14:paraId="6E90ED8A" w14:textId="77777777" w:rsidR="009D09FB" w:rsidRPr="00A90E5F" w:rsidRDefault="009D09FB" w:rsidP="00A90E5F">
      <w:pPr>
        <w:tabs>
          <w:tab w:val="left" w:pos="284"/>
        </w:tabs>
        <w:spacing w:line="340" w:lineRule="exact"/>
        <w:rPr>
          <w:sz w:val="22"/>
          <w:szCs w:val="22"/>
          <w:lang w:eastAsia="en-US"/>
        </w:rPr>
      </w:pPr>
    </w:p>
    <w:p w14:paraId="73CA56A5" w14:textId="73DB1FE6" w:rsidR="009D09FB" w:rsidRPr="00A90E5F" w:rsidRDefault="009D09FB" w:rsidP="00A90E5F">
      <w:pPr>
        <w:tabs>
          <w:tab w:val="left" w:pos="284"/>
        </w:tabs>
        <w:spacing w:line="340" w:lineRule="exact"/>
        <w:rPr>
          <w:sz w:val="22"/>
          <w:szCs w:val="22"/>
          <w:lang w:eastAsia="en-US"/>
        </w:rPr>
      </w:pPr>
      <w:r w:rsidRPr="00A90E5F">
        <w:rPr>
          <w:sz w:val="22"/>
          <w:szCs w:val="22"/>
          <w:lang w:eastAsia="en-US"/>
        </w:rPr>
        <w:t>Reviewer 1:</w:t>
      </w:r>
      <w:r w:rsidR="008369F7" w:rsidRPr="008369F7">
        <w:rPr>
          <w:b/>
          <w:bCs/>
          <w:i/>
          <w:iCs/>
          <w:sz w:val="22"/>
          <w:szCs w:val="22"/>
          <w:lang w:eastAsia="en-US"/>
        </w:rPr>
        <w:t xml:space="preserve"> </w:t>
      </w:r>
      <w:r w:rsidR="008369F7" w:rsidRPr="00A90E5F">
        <w:rPr>
          <w:b/>
          <w:bCs/>
          <w:i/>
          <w:iCs/>
          <w:sz w:val="22"/>
          <w:szCs w:val="22"/>
          <w:lang w:eastAsia="en-US"/>
        </w:rPr>
        <w:t>Assoc. Prof.</w:t>
      </w:r>
      <w:r w:rsidR="008369F7">
        <w:rPr>
          <w:b/>
          <w:bCs/>
          <w:i/>
          <w:iCs/>
          <w:sz w:val="22"/>
          <w:szCs w:val="22"/>
          <w:lang w:eastAsia="en-US"/>
        </w:rPr>
        <w:t xml:space="preserve"> Mai Van Vien, MD, PhD</w:t>
      </w:r>
    </w:p>
    <w:p w14:paraId="346AF6A5" w14:textId="563E38C8" w:rsidR="009D09FB" w:rsidRPr="00A90E5F" w:rsidRDefault="009D09FB" w:rsidP="00A90E5F">
      <w:pPr>
        <w:tabs>
          <w:tab w:val="left" w:pos="284"/>
        </w:tabs>
        <w:spacing w:line="340" w:lineRule="exact"/>
        <w:rPr>
          <w:sz w:val="22"/>
          <w:szCs w:val="22"/>
          <w:lang w:eastAsia="en-US"/>
        </w:rPr>
      </w:pPr>
      <w:r w:rsidRPr="00A90E5F">
        <w:rPr>
          <w:sz w:val="22"/>
          <w:szCs w:val="22"/>
          <w:lang w:eastAsia="en-US"/>
        </w:rPr>
        <w:t>Reviewer 2:</w:t>
      </w:r>
      <w:r w:rsidR="008369F7">
        <w:rPr>
          <w:sz w:val="22"/>
          <w:szCs w:val="22"/>
          <w:lang w:eastAsia="en-US"/>
        </w:rPr>
        <w:t xml:space="preserve"> </w:t>
      </w:r>
      <w:r w:rsidR="008369F7">
        <w:rPr>
          <w:b/>
          <w:bCs/>
          <w:i/>
          <w:iCs/>
          <w:sz w:val="22"/>
          <w:szCs w:val="22"/>
          <w:lang w:eastAsia="en-US"/>
        </w:rPr>
        <w:t>Do Anh Tu, MD, PhD</w:t>
      </w:r>
    </w:p>
    <w:p w14:paraId="0684F7C7" w14:textId="63ADD308" w:rsidR="009D09FB" w:rsidRPr="00A90E5F" w:rsidRDefault="009D09FB" w:rsidP="00A90E5F">
      <w:pPr>
        <w:tabs>
          <w:tab w:val="left" w:pos="284"/>
        </w:tabs>
        <w:spacing w:line="340" w:lineRule="exact"/>
        <w:rPr>
          <w:sz w:val="22"/>
          <w:szCs w:val="22"/>
          <w:lang w:eastAsia="en-US"/>
        </w:rPr>
      </w:pPr>
      <w:r w:rsidRPr="00A90E5F">
        <w:rPr>
          <w:sz w:val="22"/>
          <w:szCs w:val="22"/>
          <w:lang w:eastAsia="en-US"/>
        </w:rPr>
        <w:t>Reviewer 3:</w:t>
      </w:r>
      <w:r w:rsidR="008369F7" w:rsidRPr="008369F7">
        <w:rPr>
          <w:b/>
          <w:bCs/>
          <w:i/>
          <w:iCs/>
          <w:sz w:val="22"/>
          <w:szCs w:val="22"/>
          <w:lang w:eastAsia="en-US"/>
        </w:rPr>
        <w:t xml:space="preserve"> </w:t>
      </w:r>
      <w:r w:rsidR="008369F7" w:rsidRPr="00A90E5F">
        <w:rPr>
          <w:b/>
          <w:bCs/>
          <w:i/>
          <w:iCs/>
          <w:sz w:val="22"/>
          <w:szCs w:val="22"/>
          <w:lang w:eastAsia="en-US"/>
        </w:rPr>
        <w:t>Assoc. Prof.</w:t>
      </w:r>
      <w:r w:rsidR="008369F7">
        <w:rPr>
          <w:b/>
          <w:bCs/>
          <w:i/>
          <w:iCs/>
          <w:sz w:val="22"/>
          <w:szCs w:val="22"/>
          <w:lang w:eastAsia="en-US"/>
        </w:rPr>
        <w:t xml:space="preserve"> Tran Ngoc Dung , MD, PhD</w:t>
      </w:r>
    </w:p>
    <w:p w14:paraId="36224CFC" w14:textId="48F5BAAC" w:rsidR="009D09FB" w:rsidRPr="00A90E5F" w:rsidRDefault="009D09FB" w:rsidP="00A90E5F">
      <w:pPr>
        <w:tabs>
          <w:tab w:val="left" w:pos="284"/>
        </w:tabs>
        <w:spacing w:line="340" w:lineRule="exact"/>
        <w:rPr>
          <w:sz w:val="22"/>
          <w:szCs w:val="22"/>
          <w:lang w:eastAsia="en-US"/>
        </w:rPr>
      </w:pPr>
    </w:p>
    <w:p w14:paraId="54DA5CB3" w14:textId="77777777" w:rsidR="009D09FB" w:rsidRDefault="009D09FB" w:rsidP="00A90E5F">
      <w:pPr>
        <w:tabs>
          <w:tab w:val="left" w:pos="284"/>
        </w:tabs>
        <w:spacing w:line="340" w:lineRule="exact"/>
        <w:rPr>
          <w:sz w:val="22"/>
          <w:szCs w:val="22"/>
          <w:lang w:eastAsia="en-US"/>
        </w:rPr>
      </w:pPr>
    </w:p>
    <w:p w14:paraId="3D64B177" w14:textId="77777777" w:rsidR="00A90E5F" w:rsidRPr="00A90E5F" w:rsidRDefault="00A90E5F" w:rsidP="00A90E5F">
      <w:pPr>
        <w:tabs>
          <w:tab w:val="left" w:pos="284"/>
        </w:tabs>
        <w:spacing w:line="340" w:lineRule="exact"/>
        <w:rPr>
          <w:sz w:val="22"/>
          <w:szCs w:val="22"/>
          <w:lang w:eastAsia="en-US"/>
        </w:rPr>
      </w:pPr>
    </w:p>
    <w:p w14:paraId="5F68787F" w14:textId="4E107134" w:rsidR="009D09FB" w:rsidRDefault="009D09FB" w:rsidP="00A90E5F">
      <w:pPr>
        <w:tabs>
          <w:tab w:val="left" w:pos="284"/>
        </w:tabs>
        <w:spacing w:line="340" w:lineRule="exact"/>
        <w:rPr>
          <w:sz w:val="22"/>
          <w:szCs w:val="22"/>
          <w:lang w:eastAsia="en-US"/>
        </w:rPr>
      </w:pPr>
      <w:r w:rsidRPr="00A90E5F">
        <w:rPr>
          <w:sz w:val="22"/>
          <w:szCs w:val="22"/>
          <w:lang w:eastAsia="en-US"/>
        </w:rPr>
        <w:t>The dissertation was defended before the University</w:t>
      </w:r>
      <w:r w:rsidR="00903F5B" w:rsidRPr="00A90E5F">
        <w:rPr>
          <w:sz w:val="22"/>
          <w:szCs w:val="22"/>
          <w:lang w:eastAsia="en-US"/>
        </w:rPr>
        <w:t>-</w:t>
      </w:r>
      <w:r w:rsidRPr="00A90E5F">
        <w:rPr>
          <w:sz w:val="22"/>
          <w:szCs w:val="22"/>
          <w:lang w:eastAsia="en-US"/>
        </w:rPr>
        <w:t>level Dissertation Evaluation Council at Vietnam Military Medical University at ... hours, on the ... day of ... , 2025.</w:t>
      </w:r>
    </w:p>
    <w:p w14:paraId="67D3B9AC" w14:textId="4086D6E6" w:rsidR="00D22411" w:rsidRDefault="00D22411" w:rsidP="00A90E5F">
      <w:pPr>
        <w:tabs>
          <w:tab w:val="left" w:pos="284"/>
        </w:tabs>
        <w:spacing w:line="340" w:lineRule="exact"/>
        <w:rPr>
          <w:sz w:val="22"/>
          <w:szCs w:val="22"/>
          <w:lang w:eastAsia="en-US"/>
        </w:rPr>
      </w:pPr>
    </w:p>
    <w:p w14:paraId="0FEF001D" w14:textId="5EE401BF" w:rsidR="00D22411" w:rsidRDefault="00D22411" w:rsidP="00A90E5F">
      <w:pPr>
        <w:tabs>
          <w:tab w:val="left" w:pos="284"/>
        </w:tabs>
        <w:spacing w:line="340" w:lineRule="exact"/>
        <w:rPr>
          <w:sz w:val="22"/>
          <w:szCs w:val="22"/>
          <w:lang w:eastAsia="en-US"/>
        </w:rPr>
      </w:pPr>
    </w:p>
    <w:p w14:paraId="6C23D27A" w14:textId="77777777" w:rsidR="00D22411" w:rsidRPr="00A90E5F" w:rsidRDefault="00D22411" w:rsidP="00A90E5F">
      <w:pPr>
        <w:tabs>
          <w:tab w:val="left" w:pos="284"/>
        </w:tabs>
        <w:spacing w:line="340" w:lineRule="exact"/>
        <w:rPr>
          <w:sz w:val="22"/>
          <w:szCs w:val="22"/>
          <w:lang w:eastAsia="en-US"/>
        </w:rPr>
      </w:pPr>
    </w:p>
    <w:p w14:paraId="46A53122" w14:textId="2F76C9AB" w:rsidR="009D09FB" w:rsidRPr="00A90E5F" w:rsidRDefault="009D09FB" w:rsidP="00A90E5F">
      <w:pPr>
        <w:tabs>
          <w:tab w:val="left" w:pos="284"/>
        </w:tabs>
        <w:spacing w:line="340" w:lineRule="exact"/>
        <w:rPr>
          <w:sz w:val="22"/>
          <w:szCs w:val="22"/>
          <w:lang w:eastAsia="en-US"/>
        </w:rPr>
      </w:pPr>
      <w:r w:rsidRPr="00A90E5F">
        <w:rPr>
          <w:sz w:val="22"/>
          <w:szCs w:val="22"/>
          <w:lang w:eastAsia="en-US"/>
        </w:rPr>
        <w:t>The dissertation can be accessed at:</w:t>
      </w:r>
    </w:p>
    <w:p w14:paraId="6BE314D7" w14:textId="5196D704" w:rsidR="009D09FB" w:rsidRPr="00A90E5F" w:rsidRDefault="005F4D1A" w:rsidP="00A90E5F">
      <w:pPr>
        <w:tabs>
          <w:tab w:val="left" w:pos="284"/>
        </w:tabs>
        <w:spacing w:line="340" w:lineRule="exact"/>
        <w:rPr>
          <w:b/>
          <w:bCs/>
          <w:sz w:val="22"/>
          <w:szCs w:val="22"/>
          <w:lang w:eastAsia="en-US"/>
        </w:rPr>
      </w:pPr>
      <w:r w:rsidRPr="00A90E5F">
        <w:rPr>
          <w:b/>
          <w:bCs/>
          <w:sz w:val="22"/>
          <w:szCs w:val="22"/>
          <w:lang w:eastAsia="en-US"/>
        </w:rPr>
        <w:t>1.</w:t>
      </w:r>
      <w:r w:rsidR="009D09FB" w:rsidRPr="00A90E5F">
        <w:rPr>
          <w:b/>
          <w:bCs/>
          <w:sz w:val="22"/>
          <w:szCs w:val="22"/>
          <w:lang w:eastAsia="en-US"/>
        </w:rPr>
        <w:t xml:space="preserve">  The National Library of Vietnam</w:t>
      </w:r>
    </w:p>
    <w:p w14:paraId="0B10236E" w14:textId="6F474634" w:rsidR="00F9486B" w:rsidRPr="00A90E5F" w:rsidRDefault="005F4D1A" w:rsidP="00A90E5F">
      <w:pPr>
        <w:tabs>
          <w:tab w:val="left" w:pos="284"/>
        </w:tabs>
        <w:spacing w:line="340" w:lineRule="exact"/>
        <w:rPr>
          <w:b/>
          <w:bCs/>
          <w:sz w:val="22"/>
          <w:szCs w:val="22"/>
          <w:lang w:eastAsia="en-US"/>
        </w:rPr>
        <w:sectPr w:rsidR="00F9486B" w:rsidRPr="00A90E5F" w:rsidSect="00ED00CC">
          <w:footerReference w:type="default" r:id="rId8"/>
          <w:pgSz w:w="8392" w:h="11907" w:code="11"/>
          <w:pgMar w:top="1701" w:right="1134" w:bottom="1701" w:left="1701" w:header="720" w:footer="720" w:gutter="0"/>
          <w:pgBorders>
            <w:top w:val="twistedLines1" w:sz="18" w:space="4" w:color="auto"/>
            <w:left w:val="twistedLines1" w:sz="18" w:space="4" w:color="auto"/>
            <w:bottom w:val="twistedLines1" w:sz="18" w:space="4" w:color="auto"/>
            <w:right w:val="twistedLines1" w:sz="18" w:space="4" w:color="auto"/>
          </w:pgBorders>
          <w:cols w:space="720"/>
          <w:docGrid w:linePitch="381"/>
        </w:sectPr>
      </w:pPr>
      <w:r w:rsidRPr="00A90E5F">
        <w:rPr>
          <w:b/>
          <w:bCs/>
          <w:sz w:val="22"/>
          <w:szCs w:val="22"/>
          <w:lang w:eastAsia="en-US"/>
        </w:rPr>
        <w:t>2.</w:t>
      </w:r>
      <w:r w:rsidR="009D09FB" w:rsidRPr="00A90E5F">
        <w:rPr>
          <w:b/>
          <w:bCs/>
          <w:sz w:val="22"/>
          <w:szCs w:val="22"/>
          <w:lang w:eastAsia="en-US"/>
        </w:rPr>
        <w:t xml:space="preserve"> The Library of Vietnam Military Medical University</w:t>
      </w:r>
      <w:r w:rsidR="00F9486B" w:rsidRPr="00A90E5F">
        <w:rPr>
          <w:sz w:val="22"/>
          <w:szCs w:val="22"/>
          <w:lang w:eastAsia="en-US"/>
        </w:rPr>
        <w:tab/>
      </w:r>
    </w:p>
    <w:p w14:paraId="5E9A3EE2" w14:textId="77777777" w:rsidR="0083797D" w:rsidRPr="00A90E5F" w:rsidRDefault="0083797D" w:rsidP="00A90E5F">
      <w:pPr>
        <w:tabs>
          <w:tab w:val="left" w:pos="284"/>
        </w:tabs>
        <w:spacing w:line="340" w:lineRule="exact"/>
        <w:jc w:val="center"/>
        <w:rPr>
          <w:b/>
          <w:bCs/>
          <w:sz w:val="22"/>
          <w:szCs w:val="22"/>
        </w:rPr>
      </w:pPr>
      <w:bookmarkStart w:id="9" w:name="_Toc183910199"/>
      <w:bookmarkStart w:id="10" w:name="_Toc183910549"/>
      <w:bookmarkEnd w:id="0"/>
      <w:bookmarkEnd w:id="1"/>
      <w:bookmarkEnd w:id="2"/>
      <w:bookmarkEnd w:id="3"/>
      <w:bookmarkEnd w:id="4"/>
      <w:bookmarkEnd w:id="5"/>
      <w:bookmarkEnd w:id="6"/>
      <w:bookmarkEnd w:id="7"/>
      <w:bookmarkEnd w:id="8"/>
      <w:bookmarkEnd w:id="9"/>
      <w:bookmarkEnd w:id="10"/>
      <w:r w:rsidRPr="00A90E5F">
        <w:rPr>
          <w:b/>
          <w:bCs/>
          <w:sz w:val="22"/>
          <w:szCs w:val="22"/>
        </w:rPr>
        <w:lastRenderedPageBreak/>
        <w:t>INTRODUCTION</w:t>
      </w:r>
    </w:p>
    <w:p w14:paraId="5E6B523F" w14:textId="77777777" w:rsidR="0083797D" w:rsidRPr="00A90E5F" w:rsidRDefault="0083797D" w:rsidP="00A90E5F">
      <w:pPr>
        <w:tabs>
          <w:tab w:val="left" w:pos="284"/>
        </w:tabs>
        <w:spacing w:line="340" w:lineRule="exact"/>
        <w:rPr>
          <w:sz w:val="22"/>
          <w:szCs w:val="22"/>
        </w:rPr>
      </w:pPr>
      <w:r w:rsidRPr="00A90E5F">
        <w:rPr>
          <w:sz w:val="22"/>
          <w:szCs w:val="22"/>
        </w:rPr>
        <w:tab/>
        <w:t>Breast cancer is the most common malignancy among women, ranking second in global cancer incidence and first in Vietnam. Despite advancements in screening and treatment, many patients are still diagnosed at late stages—especially stage III—characterized by large, invasive tumors with axillary lymph node metastasis.</w:t>
      </w:r>
    </w:p>
    <w:p w14:paraId="563F152D" w14:textId="5BA58E48" w:rsidR="0083797D" w:rsidRPr="00A90E5F" w:rsidRDefault="0083797D" w:rsidP="00A90E5F">
      <w:pPr>
        <w:tabs>
          <w:tab w:val="left" w:pos="284"/>
        </w:tabs>
        <w:spacing w:line="340" w:lineRule="exact"/>
        <w:rPr>
          <w:sz w:val="22"/>
          <w:szCs w:val="22"/>
        </w:rPr>
      </w:pPr>
      <w:r w:rsidRPr="00A90E5F">
        <w:rPr>
          <w:sz w:val="22"/>
          <w:szCs w:val="22"/>
        </w:rPr>
        <w:tab/>
        <w:t>Neoadjuvant chemotherapy (NACT) is the standard approach for this group, enabling tumor downstaging, improved chances for curative or breast-conserving surgery, and enhanced outcomes when pathological complete response (pCR) is achieved. However, in Vietnam, modified radical mastectomy (MRM) remains predominant due to delayed detection, limited healthcare infrastructure, and patient-related barriers.</w:t>
      </w:r>
    </w:p>
    <w:p w14:paraId="4D1C3477" w14:textId="71C4D1D9" w:rsidR="0083797D" w:rsidRPr="00A90E5F" w:rsidRDefault="0083797D" w:rsidP="00A90E5F">
      <w:pPr>
        <w:tabs>
          <w:tab w:val="left" w:pos="284"/>
        </w:tabs>
        <w:spacing w:line="340" w:lineRule="exact"/>
        <w:rPr>
          <w:sz w:val="22"/>
          <w:szCs w:val="22"/>
        </w:rPr>
      </w:pPr>
      <w:r w:rsidRPr="00A90E5F">
        <w:rPr>
          <w:sz w:val="22"/>
          <w:szCs w:val="22"/>
        </w:rPr>
        <w:tab/>
        <w:t>Most domestic studies have focused on treatment response, whereas surgical aspects such as procedure type, postoperative pathology, and surgical complications remain underexplored. Therefore, this study aims to evaluate the outcomes of surgery after NACT in stage III breast cancer and analyze prognostic factors.</w:t>
      </w:r>
    </w:p>
    <w:p w14:paraId="4E15A042" w14:textId="77777777" w:rsidR="0083797D" w:rsidRPr="00A90E5F" w:rsidRDefault="0083797D" w:rsidP="00A90E5F">
      <w:pPr>
        <w:tabs>
          <w:tab w:val="left" w:pos="284"/>
        </w:tabs>
        <w:spacing w:line="340" w:lineRule="exact"/>
        <w:rPr>
          <w:b/>
          <w:bCs/>
          <w:sz w:val="22"/>
          <w:szCs w:val="22"/>
        </w:rPr>
      </w:pPr>
      <w:r w:rsidRPr="00A90E5F">
        <w:rPr>
          <w:b/>
          <w:bCs/>
          <w:sz w:val="22"/>
          <w:szCs w:val="22"/>
        </w:rPr>
        <w:t>RESEARCH OBJECTIVES</w:t>
      </w:r>
    </w:p>
    <w:p w14:paraId="2EB1D473" w14:textId="5E72C04F" w:rsidR="0083797D" w:rsidRPr="00A90E5F" w:rsidRDefault="0083797D" w:rsidP="00A90E5F">
      <w:pPr>
        <w:tabs>
          <w:tab w:val="left" w:pos="284"/>
        </w:tabs>
        <w:spacing w:line="340" w:lineRule="exact"/>
        <w:rPr>
          <w:sz w:val="22"/>
          <w:szCs w:val="22"/>
        </w:rPr>
      </w:pPr>
      <w:r w:rsidRPr="00A90E5F">
        <w:rPr>
          <w:sz w:val="22"/>
          <w:szCs w:val="22"/>
        </w:rPr>
        <w:t>1.To describe clinical and paraclinical characteristics of patients with stage III invasive ductal carcinoma undergoing neoadjuvant chemotherapy.</w:t>
      </w:r>
    </w:p>
    <w:p w14:paraId="77301CC3" w14:textId="63340A0F" w:rsidR="0083797D" w:rsidRDefault="0083797D" w:rsidP="00A90E5F">
      <w:pPr>
        <w:tabs>
          <w:tab w:val="left" w:pos="284"/>
        </w:tabs>
        <w:spacing w:line="340" w:lineRule="exact"/>
        <w:rPr>
          <w:sz w:val="22"/>
          <w:szCs w:val="22"/>
        </w:rPr>
      </w:pPr>
      <w:r w:rsidRPr="00A90E5F">
        <w:rPr>
          <w:sz w:val="22"/>
          <w:szCs w:val="22"/>
        </w:rPr>
        <w:t>2.To evaluate surgical outcomes following neoadjuvant chemotherapy in stage III breast cancer and identify associated prognostic factors.</w:t>
      </w:r>
    </w:p>
    <w:p w14:paraId="2CAED1CB" w14:textId="77777777" w:rsidR="00DA1CDC" w:rsidRDefault="00DA1CDC" w:rsidP="00DA1CDC">
      <w:pPr>
        <w:tabs>
          <w:tab w:val="left" w:pos="284"/>
        </w:tabs>
        <w:spacing w:line="340" w:lineRule="exact"/>
        <w:rPr>
          <w:b/>
          <w:bCs/>
          <w:sz w:val="22"/>
          <w:szCs w:val="22"/>
        </w:rPr>
      </w:pPr>
    </w:p>
    <w:p w14:paraId="7595309E" w14:textId="77777777" w:rsidR="00DA1CDC" w:rsidRDefault="00DA1CDC" w:rsidP="00DA1CDC">
      <w:pPr>
        <w:tabs>
          <w:tab w:val="left" w:pos="284"/>
        </w:tabs>
        <w:spacing w:line="340" w:lineRule="exact"/>
        <w:rPr>
          <w:b/>
          <w:bCs/>
          <w:sz w:val="22"/>
          <w:szCs w:val="22"/>
        </w:rPr>
      </w:pPr>
    </w:p>
    <w:p w14:paraId="0DAE8B71" w14:textId="49B310B8" w:rsidR="00DA1CDC" w:rsidRDefault="0083797D" w:rsidP="00DA1CDC">
      <w:pPr>
        <w:tabs>
          <w:tab w:val="left" w:pos="284"/>
        </w:tabs>
        <w:spacing w:line="340" w:lineRule="exact"/>
        <w:jc w:val="center"/>
        <w:rPr>
          <w:b/>
          <w:bCs/>
          <w:sz w:val="22"/>
          <w:szCs w:val="22"/>
        </w:rPr>
      </w:pPr>
      <w:r w:rsidRPr="00A90E5F">
        <w:rPr>
          <w:b/>
          <w:bCs/>
          <w:sz w:val="22"/>
          <w:szCs w:val="22"/>
        </w:rPr>
        <w:lastRenderedPageBreak/>
        <w:t>NOVEL CONTRIBUTIONS OF THE DISSERTATION</w:t>
      </w:r>
      <w:bookmarkStart w:id="11" w:name="_Hlk199861468"/>
    </w:p>
    <w:p w14:paraId="57B13BCB" w14:textId="41C0623E" w:rsidR="00DA1CDC" w:rsidRPr="00BB39D6" w:rsidRDefault="00DA1CDC" w:rsidP="00DA1CDC">
      <w:pPr>
        <w:tabs>
          <w:tab w:val="left" w:pos="284"/>
        </w:tabs>
        <w:spacing w:line="340" w:lineRule="exact"/>
        <w:rPr>
          <w:b/>
          <w:bCs/>
          <w:spacing w:val="-4"/>
          <w:sz w:val="22"/>
          <w:szCs w:val="22"/>
        </w:rPr>
      </w:pPr>
      <w:r w:rsidRPr="00BB39D6">
        <w:rPr>
          <w:spacing w:val="-4"/>
          <w:sz w:val="22"/>
          <w:szCs w:val="22"/>
        </w:rPr>
        <w:t xml:space="preserve">1. A large-sample study was conducted on 250 patients with stage III invasive breast carcinoma, with extended follow-up, utilizing a multimodal treatment protocol consisting of various neoadjuvant chemotherapy (NACT) regimens followed by radical surgery. The evaluation combined clinical, imaging, and pathological assessments using internationally accepted classification systems such as RECIST 1.1, Chevallier, and </w:t>
      </w:r>
      <w:r w:rsidR="001A09D9" w:rsidRPr="00BB39D6">
        <w:rPr>
          <w:spacing w:val="-4"/>
          <w:sz w:val="22"/>
          <w:szCs w:val="22"/>
        </w:rPr>
        <w:t xml:space="preserve">AJCC 8th (2017) </w:t>
      </w:r>
      <w:r w:rsidRPr="00BB39D6">
        <w:rPr>
          <w:spacing w:val="-4"/>
          <w:sz w:val="22"/>
          <w:szCs w:val="22"/>
        </w:rPr>
        <w:t>TNM</w:t>
      </w:r>
      <w:r w:rsidR="001A09D9" w:rsidRPr="00BB39D6">
        <w:rPr>
          <w:spacing w:val="-4"/>
          <w:sz w:val="22"/>
          <w:szCs w:val="22"/>
        </w:rPr>
        <w:t xml:space="preserve"> staging</w:t>
      </w:r>
      <w:r w:rsidRPr="00BB39D6">
        <w:rPr>
          <w:spacing w:val="-4"/>
          <w:sz w:val="22"/>
          <w:szCs w:val="22"/>
        </w:rPr>
        <w:t>, contributing to the standardization of clinical application.</w:t>
      </w:r>
    </w:p>
    <w:p w14:paraId="454FACCB" w14:textId="77777777" w:rsidR="00DA1CDC" w:rsidRPr="00BB39D6" w:rsidRDefault="00DA1CDC" w:rsidP="00DA1CDC">
      <w:pPr>
        <w:spacing w:line="340" w:lineRule="exact"/>
        <w:rPr>
          <w:spacing w:val="-4"/>
          <w:sz w:val="22"/>
          <w:szCs w:val="22"/>
          <w:lang w:val="en-US"/>
        </w:rPr>
      </w:pPr>
      <w:r w:rsidRPr="00BB39D6">
        <w:rPr>
          <w:spacing w:val="-4"/>
          <w:sz w:val="22"/>
          <w:szCs w:val="22"/>
        </w:rPr>
        <w:t>2. The study provided data showing a pathological complete response (pCR) rate of 24.4% and a high clinical response rate of 95.2%, demonstrating the effectiveness of standard NACT regimens in Vietnam, especially when dose-dense strategies were employed (44% of cases).</w:t>
      </w:r>
    </w:p>
    <w:p w14:paraId="1CA4BD9E" w14:textId="77777777" w:rsidR="00DA1CDC" w:rsidRPr="00BB39D6" w:rsidRDefault="00DA1CDC" w:rsidP="00DA1CDC">
      <w:pPr>
        <w:spacing w:line="340" w:lineRule="exact"/>
        <w:rPr>
          <w:spacing w:val="-4"/>
          <w:sz w:val="22"/>
          <w:szCs w:val="22"/>
        </w:rPr>
      </w:pPr>
      <w:r w:rsidRPr="00BB39D6">
        <w:rPr>
          <w:spacing w:val="-4"/>
          <w:sz w:val="22"/>
          <w:szCs w:val="22"/>
        </w:rPr>
        <w:t>3. The dissertation confirmed the feasibility and safety of modified radical mastectomy (MRM) following NACT. The surgical procedure was standardized, with a mean operative time of 96.98 minutes and a low complication rate of 4.8%. According to the Clavien-Dindo classification, 22.8% of cases had grade I–II complications, and no severe adverse events were reported.</w:t>
      </w:r>
    </w:p>
    <w:p w14:paraId="770B1004" w14:textId="6E774A96" w:rsidR="00DA1CDC" w:rsidRPr="00BB39D6" w:rsidRDefault="00DA1CDC" w:rsidP="00DA1CDC">
      <w:pPr>
        <w:spacing w:line="340" w:lineRule="exact"/>
        <w:rPr>
          <w:spacing w:val="-4"/>
          <w:sz w:val="22"/>
          <w:szCs w:val="22"/>
        </w:rPr>
      </w:pPr>
      <w:r w:rsidRPr="00BB39D6">
        <w:rPr>
          <w:spacing w:val="-4"/>
          <w:sz w:val="22"/>
          <w:szCs w:val="22"/>
        </w:rPr>
        <w:t xml:space="preserve">4. A detailed analysis was performed on the associations between pCR and survival outcomes (event-free </w:t>
      </w:r>
      <w:r w:rsidR="001A09D9" w:rsidRPr="00BB39D6">
        <w:rPr>
          <w:spacing w:val="-4"/>
          <w:sz w:val="22"/>
          <w:szCs w:val="22"/>
        </w:rPr>
        <w:t>survival-</w:t>
      </w:r>
      <w:r w:rsidRPr="00BB39D6">
        <w:rPr>
          <w:spacing w:val="-4"/>
          <w:sz w:val="22"/>
          <w:szCs w:val="22"/>
        </w:rPr>
        <w:t>EFS and overall survival OS), consistent with global trends. The findings clarified key prognostic indicators—including molecular subtypes (particularly HER2-positive and triple-negative breast cancer), pCR status, and post-treatment nodal status (ypN)—which support the prognostic utility of these factors and facilitate personalized postoperative management.</w:t>
      </w:r>
    </w:p>
    <w:bookmarkEnd w:id="11"/>
    <w:p w14:paraId="665C6836" w14:textId="77777777" w:rsidR="0083797D" w:rsidRPr="00A90E5F" w:rsidRDefault="0083797D" w:rsidP="00D8187C">
      <w:pPr>
        <w:tabs>
          <w:tab w:val="left" w:pos="284"/>
        </w:tabs>
        <w:spacing w:line="340" w:lineRule="exact"/>
        <w:jc w:val="center"/>
        <w:rPr>
          <w:b/>
          <w:bCs/>
          <w:sz w:val="22"/>
          <w:szCs w:val="22"/>
        </w:rPr>
      </w:pPr>
      <w:r w:rsidRPr="00A90E5F">
        <w:rPr>
          <w:b/>
          <w:bCs/>
          <w:sz w:val="22"/>
          <w:szCs w:val="22"/>
        </w:rPr>
        <w:lastRenderedPageBreak/>
        <w:t>STRUCTURE OF THE DISSERTATION</w:t>
      </w:r>
    </w:p>
    <w:p w14:paraId="55D67A34" w14:textId="73BFA1E2" w:rsidR="00A54260" w:rsidRDefault="0083797D" w:rsidP="00A90E5F">
      <w:pPr>
        <w:tabs>
          <w:tab w:val="left" w:pos="284"/>
        </w:tabs>
        <w:spacing w:line="340" w:lineRule="exact"/>
        <w:rPr>
          <w:sz w:val="22"/>
          <w:szCs w:val="22"/>
        </w:rPr>
      </w:pPr>
      <w:r w:rsidRPr="00A90E5F">
        <w:rPr>
          <w:sz w:val="22"/>
          <w:szCs w:val="22"/>
        </w:rPr>
        <w:tab/>
        <w:t xml:space="preserve">The dissertation comprises </w:t>
      </w:r>
      <w:r w:rsidR="002622CB">
        <w:rPr>
          <w:sz w:val="22"/>
          <w:szCs w:val="22"/>
        </w:rPr>
        <w:t>147</w:t>
      </w:r>
      <w:r w:rsidRPr="00A90E5F">
        <w:rPr>
          <w:sz w:val="22"/>
          <w:szCs w:val="22"/>
        </w:rPr>
        <w:t xml:space="preserve"> pages: 2 pages for introduction, </w:t>
      </w:r>
      <w:r w:rsidR="002622CB">
        <w:rPr>
          <w:sz w:val="22"/>
          <w:szCs w:val="22"/>
        </w:rPr>
        <w:t>31</w:t>
      </w:r>
      <w:r w:rsidRPr="00A90E5F">
        <w:rPr>
          <w:sz w:val="22"/>
          <w:szCs w:val="22"/>
        </w:rPr>
        <w:t xml:space="preserve"> for literature review, </w:t>
      </w:r>
      <w:r w:rsidR="00317A02">
        <w:rPr>
          <w:sz w:val="22"/>
          <w:szCs w:val="22"/>
        </w:rPr>
        <w:t>23</w:t>
      </w:r>
      <w:r w:rsidRPr="00A90E5F">
        <w:rPr>
          <w:sz w:val="22"/>
          <w:szCs w:val="22"/>
        </w:rPr>
        <w:t xml:space="preserve"> for methods, </w:t>
      </w:r>
      <w:r w:rsidR="00317A02">
        <w:rPr>
          <w:sz w:val="22"/>
          <w:szCs w:val="22"/>
        </w:rPr>
        <w:t>39</w:t>
      </w:r>
      <w:r w:rsidRPr="00A90E5F">
        <w:rPr>
          <w:sz w:val="22"/>
          <w:szCs w:val="22"/>
        </w:rPr>
        <w:t xml:space="preserve"> for results, </w:t>
      </w:r>
      <w:r w:rsidR="00317A02">
        <w:rPr>
          <w:sz w:val="22"/>
          <w:szCs w:val="22"/>
        </w:rPr>
        <w:t>49</w:t>
      </w:r>
      <w:r w:rsidRPr="00A90E5F">
        <w:rPr>
          <w:sz w:val="22"/>
          <w:szCs w:val="22"/>
        </w:rPr>
        <w:t xml:space="preserve"> for discussion, 2 for conclusion, and 1 for recommendations.</w:t>
      </w:r>
    </w:p>
    <w:p w14:paraId="0216C42D" w14:textId="450DB65A" w:rsidR="0083797D" w:rsidRPr="00A90E5F" w:rsidRDefault="0083797D" w:rsidP="00A90E5F">
      <w:pPr>
        <w:tabs>
          <w:tab w:val="left" w:pos="284"/>
        </w:tabs>
        <w:spacing w:line="340" w:lineRule="exact"/>
        <w:rPr>
          <w:sz w:val="22"/>
          <w:szCs w:val="22"/>
        </w:rPr>
      </w:pPr>
      <w:r w:rsidRPr="00A90E5F">
        <w:rPr>
          <w:sz w:val="22"/>
          <w:szCs w:val="22"/>
        </w:rPr>
        <w:t xml:space="preserve">It includes </w:t>
      </w:r>
      <w:r w:rsidR="00317A02">
        <w:rPr>
          <w:sz w:val="22"/>
          <w:szCs w:val="22"/>
        </w:rPr>
        <w:t xml:space="preserve">43 </w:t>
      </w:r>
      <w:r w:rsidRPr="00A90E5F">
        <w:rPr>
          <w:sz w:val="22"/>
          <w:szCs w:val="22"/>
        </w:rPr>
        <w:t>tables, 20 charts, 10 illustrations, and 3 appendices (clinical images, research forms, and patient lists).</w:t>
      </w:r>
    </w:p>
    <w:p w14:paraId="3E709CAF" w14:textId="2BFA2D96" w:rsidR="0083797D" w:rsidRPr="00A90E5F" w:rsidRDefault="0083797D" w:rsidP="00A90E5F">
      <w:pPr>
        <w:tabs>
          <w:tab w:val="left" w:pos="284"/>
        </w:tabs>
        <w:spacing w:line="340" w:lineRule="exact"/>
        <w:rPr>
          <w:sz w:val="22"/>
          <w:szCs w:val="22"/>
        </w:rPr>
      </w:pPr>
      <w:r w:rsidRPr="00A90E5F">
        <w:rPr>
          <w:sz w:val="22"/>
          <w:szCs w:val="22"/>
        </w:rPr>
        <w:t xml:space="preserve">The reference list comprises </w:t>
      </w:r>
      <w:r w:rsidR="002622CB">
        <w:rPr>
          <w:sz w:val="22"/>
          <w:szCs w:val="22"/>
        </w:rPr>
        <w:t>217</w:t>
      </w:r>
      <w:r w:rsidRPr="00A90E5F">
        <w:rPr>
          <w:sz w:val="22"/>
          <w:szCs w:val="22"/>
        </w:rPr>
        <w:t xml:space="preserve"> sources, </w:t>
      </w:r>
      <w:r w:rsidR="005630D1">
        <w:rPr>
          <w:sz w:val="22"/>
          <w:szCs w:val="22"/>
        </w:rPr>
        <w:t xml:space="preserve">including 18 </w:t>
      </w:r>
      <w:r w:rsidRPr="00A90E5F">
        <w:rPr>
          <w:sz w:val="22"/>
          <w:szCs w:val="22"/>
        </w:rPr>
        <w:t xml:space="preserve">in Vietnamese and </w:t>
      </w:r>
      <w:r w:rsidR="005630D1">
        <w:rPr>
          <w:sz w:val="22"/>
          <w:szCs w:val="22"/>
        </w:rPr>
        <w:t>200</w:t>
      </w:r>
      <w:r w:rsidRPr="00A90E5F">
        <w:rPr>
          <w:sz w:val="22"/>
          <w:szCs w:val="22"/>
        </w:rPr>
        <w:t xml:space="preserve"> in foreign languages. Recent publications (2020–2025) account for </w:t>
      </w:r>
      <w:r w:rsidR="002622CB">
        <w:rPr>
          <w:sz w:val="22"/>
          <w:szCs w:val="22"/>
        </w:rPr>
        <w:t>110</w:t>
      </w:r>
      <w:r w:rsidRPr="00A90E5F">
        <w:rPr>
          <w:sz w:val="22"/>
          <w:szCs w:val="22"/>
        </w:rPr>
        <w:t xml:space="preserve"> references, or </w:t>
      </w:r>
      <w:r w:rsidR="000E6F82">
        <w:rPr>
          <w:sz w:val="22"/>
          <w:szCs w:val="22"/>
        </w:rPr>
        <w:t>50</w:t>
      </w:r>
      <w:r w:rsidRPr="00A90E5F">
        <w:rPr>
          <w:sz w:val="22"/>
          <w:szCs w:val="22"/>
        </w:rPr>
        <w:t>.</w:t>
      </w:r>
      <w:r w:rsidR="002622CB">
        <w:rPr>
          <w:sz w:val="22"/>
          <w:szCs w:val="22"/>
        </w:rPr>
        <w:t>6</w:t>
      </w:r>
      <w:r w:rsidR="005630D1">
        <w:rPr>
          <w:sz w:val="22"/>
          <w:szCs w:val="22"/>
        </w:rPr>
        <w:t>9</w:t>
      </w:r>
      <w:r w:rsidRPr="00A90E5F">
        <w:rPr>
          <w:sz w:val="22"/>
          <w:szCs w:val="22"/>
        </w:rPr>
        <w:t>% of the total.</w:t>
      </w:r>
    </w:p>
    <w:p w14:paraId="0137B11C" w14:textId="77777777" w:rsidR="0083797D" w:rsidRPr="00A90E5F" w:rsidRDefault="0083797D" w:rsidP="00A90E5F">
      <w:pPr>
        <w:tabs>
          <w:tab w:val="left" w:pos="284"/>
        </w:tabs>
        <w:spacing w:line="340" w:lineRule="exact"/>
        <w:rPr>
          <w:b/>
          <w:bCs/>
          <w:sz w:val="22"/>
          <w:szCs w:val="22"/>
        </w:rPr>
      </w:pPr>
      <w:r w:rsidRPr="00A90E5F">
        <w:rPr>
          <w:b/>
          <w:bCs/>
          <w:sz w:val="22"/>
          <w:szCs w:val="22"/>
        </w:rPr>
        <w:t>CHAPTER 1. LITERATURE REVIEW</w:t>
      </w:r>
    </w:p>
    <w:p w14:paraId="509226E2" w14:textId="77777777" w:rsidR="0083797D" w:rsidRPr="00A90E5F" w:rsidRDefault="0083797D" w:rsidP="00A90E5F">
      <w:pPr>
        <w:tabs>
          <w:tab w:val="left" w:pos="284"/>
        </w:tabs>
        <w:spacing w:line="340" w:lineRule="exact"/>
        <w:rPr>
          <w:b/>
          <w:bCs/>
          <w:sz w:val="22"/>
          <w:szCs w:val="22"/>
        </w:rPr>
      </w:pPr>
      <w:r w:rsidRPr="00A90E5F">
        <w:rPr>
          <w:b/>
          <w:bCs/>
          <w:sz w:val="22"/>
          <w:szCs w:val="22"/>
        </w:rPr>
        <w:t>1.1. Breast Anatomy</w:t>
      </w:r>
    </w:p>
    <w:p w14:paraId="11EA9049" w14:textId="77777777" w:rsidR="0083797D" w:rsidRPr="00A90E5F" w:rsidRDefault="0083797D" w:rsidP="00A90E5F">
      <w:pPr>
        <w:tabs>
          <w:tab w:val="left" w:pos="284"/>
        </w:tabs>
        <w:spacing w:line="340" w:lineRule="exact"/>
        <w:rPr>
          <w:b/>
          <w:bCs/>
          <w:sz w:val="22"/>
          <w:szCs w:val="22"/>
        </w:rPr>
      </w:pPr>
      <w:r w:rsidRPr="00A90E5F">
        <w:rPr>
          <w:b/>
          <w:bCs/>
          <w:sz w:val="22"/>
          <w:szCs w:val="22"/>
        </w:rPr>
        <w:t>1.2. Breast Cancer Epidemiology</w:t>
      </w:r>
    </w:p>
    <w:p w14:paraId="6EADF9D6" w14:textId="77777777" w:rsidR="0083797D" w:rsidRPr="00A90E5F" w:rsidRDefault="0083797D" w:rsidP="00A90E5F">
      <w:pPr>
        <w:tabs>
          <w:tab w:val="left" w:pos="284"/>
        </w:tabs>
        <w:spacing w:line="340" w:lineRule="exact"/>
        <w:rPr>
          <w:b/>
          <w:bCs/>
          <w:sz w:val="22"/>
          <w:szCs w:val="22"/>
        </w:rPr>
      </w:pPr>
      <w:r w:rsidRPr="00A90E5F">
        <w:rPr>
          <w:b/>
          <w:bCs/>
          <w:sz w:val="22"/>
          <w:szCs w:val="22"/>
        </w:rPr>
        <w:t>1.3. Breast Cancer Diagnosis</w:t>
      </w:r>
    </w:p>
    <w:p w14:paraId="23568539" w14:textId="5860ABA5" w:rsidR="0083797D" w:rsidRPr="00A90E5F" w:rsidRDefault="00A9560A" w:rsidP="00A90E5F">
      <w:pPr>
        <w:tabs>
          <w:tab w:val="left" w:pos="284"/>
        </w:tabs>
        <w:spacing w:line="340" w:lineRule="exact"/>
        <w:rPr>
          <w:sz w:val="22"/>
          <w:szCs w:val="22"/>
        </w:rPr>
      </w:pPr>
      <w:r w:rsidRPr="00A90E5F">
        <w:rPr>
          <w:sz w:val="22"/>
          <w:szCs w:val="22"/>
        </w:rPr>
        <w:tab/>
      </w:r>
      <w:r w:rsidR="0083797D" w:rsidRPr="00A90E5F">
        <w:rPr>
          <w:sz w:val="22"/>
          <w:szCs w:val="22"/>
        </w:rPr>
        <w:t>Diagnosis is based on histopathology via biopsy, supported by triple assessment (clinical exam, imaging, histology). Immunohistochemistry (ER, PR, HER2, Ki-67) and genomic tests (FISH, BRCA, PIK3CA, Oncotype DX…) aid in molecular classification and personalized treatment.</w:t>
      </w:r>
    </w:p>
    <w:p w14:paraId="4941A68F" w14:textId="77777777" w:rsidR="0083797D" w:rsidRPr="00A90E5F" w:rsidRDefault="0083797D" w:rsidP="00A90E5F">
      <w:pPr>
        <w:tabs>
          <w:tab w:val="left" w:pos="284"/>
        </w:tabs>
        <w:spacing w:line="340" w:lineRule="exact"/>
        <w:rPr>
          <w:b/>
          <w:bCs/>
          <w:sz w:val="22"/>
          <w:szCs w:val="22"/>
        </w:rPr>
      </w:pPr>
      <w:r w:rsidRPr="00A90E5F">
        <w:rPr>
          <w:b/>
          <w:bCs/>
          <w:sz w:val="22"/>
          <w:szCs w:val="22"/>
        </w:rPr>
        <w:t>1.4. Breast Cancer Classification</w:t>
      </w:r>
    </w:p>
    <w:p w14:paraId="769FA765" w14:textId="6055DE7F" w:rsidR="0083797D" w:rsidRPr="00A90E5F" w:rsidRDefault="00A9560A" w:rsidP="00A90E5F">
      <w:pPr>
        <w:tabs>
          <w:tab w:val="left" w:pos="284"/>
        </w:tabs>
        <w:spacing w:line="340" w:lineRule="exact"/>
        <w:rPr>
          <w:sz w:val="22"/>
          <w:szCs w:val="22"/>
        </w:rPr>
      </w:pPr>
      <w:r w:rsidRPr="00A90E5F">
        <w:rPr>
          <w:sz w:val="22"/>
          <w:szCs w:val="22"/>
        </w:rPr>
        <w:tab/>
      </w:r>
      <w:r w:rsidR="0083797D" w:rsidRPr="00A90E5F">
        <w:rPr>
          <w:sz w:val="22"/>
          <w:szCs w:val="22"/>
        </w:rPr>
        <w:t>Breast cancer is classified by TNM staging (UICC/AJCC 2017), histology (WHO 2019), and molecular subtype (St. Gallen 2015) into Luminal A, Luminal B, HER2-positive, and triple-negative (TNBC)</w:t>
      </w:r>
      <w:r w:rsidRPr="00A90E5F">
        <w:rPr>
          <w:sz w:val="22"/>
          <w:szCs w:val="22"/>
        </w:rPr>
        <w:t>.</w:t>
      </w:r>
    </w:p>
    <w:p w14:paraId="65E5B9A9" w14:textId="77777777" w:rsidR="0083797D" w:rsidRPr="00A90E5F" w:rsidRDefault="0083797D" w:rsidP="00A90E5F">
      <w:pPr>
        <w:tabs>
          <w:tab w:val="left" w:pos="284"/>
        </w:tabs>
        <w:spacing w:line="340" w:lineRule="exact"/>
        <w:rPr>
          <w:b/>
          <w:bCs/>
          <w:sz w:val="22"/>
          <w:szCs w:val="22"/>
        </w:rPr>
      </w:pPr>
      <w:r w:rsidRPr="00A90E5F">
        <w:rPr>
          <w:b/>
          <w:bCs/>
          <w:sz w:val="22"/>
          <w:szCs w:val="22"/>
        </w:rPr>
        <w:t>1.5. Breast Cancer Treatment</w:t>
      </w:r>
    </w:p>
    <w:p w14:paraId="39107EDB" w14:textId="77777777" w:rsidR="0083797D" w:rsidRPr="00A90E5F" w:rsidRDefault="0083797D" w:rsidP="00A90E5F">
      <w:pPr>
        <w:tabs>
          <w:tab w:val="left" w:pos="284"/>
        </w:tabs>
        <w:spacing w:line="340" w:lineRule="exact"/>
        <w:rPr>
          <w:sz w:val="22"/>
          <w:szCs w:val="22"/>
        </w:rPr>
      </w:pPr>
      <w:r w:rsidRPr="00A90E5F">
        <w:rPr>
          <w:sz w:val="22"/>
          <w:szCs w:val="22"/>
        </w:rPr>
        <w:t xml:space="preserve">Treatment consists of local (surgery, radiotherapy) and systemic (chemotherapy, endocrine, targeted, immunotherapy) approaches. </w:t>
      </w:r>
      <w:r w:rsidRPr="00A90E5F">
        <w:rPr>
          <w:sz w:val="22"/>
          <w:szCs w:val="22"/>
        </w:rPr>
        <w:lastRenderedPageBreak/>
        <w:t>Strategies are individualized based on staging, molecular subtype, and patient status.</w:t>
      </w:r>
    </w:p>
    <w:p w14:paraId="48DF7811" w14:textId="77777777" w:rsidR="0083797D" w:rsidRPr="00A90E5F" w:rsidRDefault="0083797D" w:rsidP="00A90E5F">
      <w:pPr>
        <w:tabs>
          <w:tab w:val="left" w:pos="284"/>
        </w:tabs>
        <w:spacing w:line="340" w:lineRule="exact"/>
        <w:rPr>
          <w:b/>
          <w:bCs/>
          <w:sz w:val="22"/>
          <w:szCs w:val="22"/>
        </w:rPr>
      </w:pPr>
      <w:r w:rsidRPr="00A90E5F">
        <w:rPr>
          <w:b/>
          <w:bCs/>
          <w:sz w:val="22"/>
          <w:szCs w:val="22"/>
        </w:rPr>
        <w:t>1.6. Neoadjuvant Chemotherapy (NACT)</w:t>
      </w:r>
    </w:p>
    <w:p w14:paraId="400DFC38" w14:textId="77777777" w:rsidR="0083797D" w:rsidRPr="00A90E5F" w:rsidRDefault="0083797D" w:rsidP="00A90E5F">
      <w:pPr>
        <w:tabs>
          <w:tab w:val="left" w:pos="284"/>
        </w:tabs>
        <w:spacing w:line="340" w:lineRule="exact"/>
        <w:rPr>
          <w:sz w:val="22"/>
          <w:szCs w:val="22"/>
        </w:rPr>
      </w:pPr>
      <w:r w:rsidRPr="00A90E5F">
        <w:rPr>
          <w:sz w:val="22"/>
          <w:szCs w:val="22"/>
        </w:rPr>
        <w:tab/>
        <w:t>NACT refers to systemic chemotherapy given before surgery, aiming to shrink the tumor, downstage the disease, improve breast conservation, and enhance survival outcomes.</w:t>
      </w:r>
    </w:p>
    <w:p w14:paraId="7391B43A" w14:textId="77777777" w:rsidR="0083797D" w:rsidRPr="00A90E5F" w:rsidRDefault="0083797D" w:rsidP="00A90E5F">
      <w:pPr>
        <w:tabs>
          <w:tab w:val="left" w:pos="284"/>
        </w:tabs>
        <w:spacing w:line="340" w:lineRule="exact"/>
        <w:rPr>
          <w:sz w:val="22"/>
          <w:szCs w:val="22"/>
        </w:rPr>
      </w:pPr>
      <w:r w:rsidRPr="00A90E5F">
        <w:rPr>
          <w:sz w:val="22"/>
          <w:szCs w:val="22"/>
        </w:rPr>
        <w:t>Key advantages include early systemic control, treatment response monitoring, improved conservation rates, and early detection of resistant disease. Limitations include potential drug resistance, delayed surgery in non-responders, and difficulty in accurate staging.</w:t>
      </w:r>
    </w:p>
    <w:p w14:paraId="37BC04A4" w14:textId="77777777" w:rsidR="0083797D" w:rsidRPr="00A90E5F" w:rsidRDefault="0083797D" w:rsidP="00A90E5F">
      <w:pPr>
        <w:tabs>
          <w:tab w:val="left" w:pos="284"/>
        </w:tabs>
        <w:spacing w:line="340" w:lineRule="exact"/>
        <w:rPr>
          <w:sz w:val="22"/>
          <w:szCs w:val="22"/>
        </w:rPr>
      </w:pPr>
      <w:r w:rsidRPr="00A90E5F">
        <w:rPr>
          <w:sz w:val="22"/>
          <w:szCs w:val="22"/>
        </w:rPr>
        <w:t>NACT Indications:</w:t>
      </w:r>
    </w:p>
    <w:p w14:paraId="430ACCE3" w14:textId="7F3D0473" w:rsidR="0083797D" w:rsidRPr="00A90E5F" w:rsidRDefault="00BB39D6" w:rsidP="00A90E5F">
      <w:pPr>
        <w:tabs>
          <w:tab w:val="left" w:pos="284"/>
        </w:tabs>
        <w:spacing w:line="340" w:lineRule="exact"/>
        <w:rPr>
          <w:sz w:val="22"/>
          <w:szCs w:val="22"/>
        </w:rPr>
      </w:pPr>
      <w:r>
        <w:rPr>
          <w:sz w:val="22"/>
          <w:szCs w:val="22"/>
        </w:rPr>
        <w:t xml:space="preserve"> - </w:t>
      </w:r>
      <w:r w:rsidR="0083797D" w:rsidRPr="00A90E5F">
        <w:rPr>
          <w:sz w:val="22"/>
          <w:szCs w:val="22"/>
        </w:rPr>
        <w:t>Locally advanced breast cancer (T2–T4 tumors, N1–N3 nodes),</w:t>
      </w:r>
    </w:p>
    <w:p w14:paraId="1062FAFB" w14:textId="5F9E2F95" w:rsidR="0083797D" w:rsidRPr="00A90E5F" w:rsidRDefault="00BB39D6" w:rsidP="00A90E5F">
      <w:pPr>
        <w:tabs>
          <w:tab w:val="left" w:pos="284"/>
        </w:tabs>
        <w:spacing w:line="340" w:lineRule="exact"/>
        <w:rPr>
          <w:sz w:val="22"/>
          <w:szCs w:val="22"/>
        </w:rPr>
      </w:pPr>
      <w:r>
        <w:rPr>
          <w:sz w:val="22"/>
          <w:szCs w:val="22"/>
        </w:rPr>
        <w:t xml:space="preserve"> - </w:t>
      </w:r>
      <w:r w:rsidR="0083797D" w:rsidRPr="00A90E5F">
        <w:rPr>
          <w:sz w:val="22"/>
          <w:szCs w:val="22"/>
        </w:rPr>
        <w:t>High-risk molecular subtypes (HER2+, TNBC),</w:t>
      </w:r>
    </w:p>
    <w:p w14:paraId="404332D8" w14:textId="202DB1FF" w:rsidR="0083797D" w:rsidRPr="00A90E5F" w:rsidRDefault="00BB39D6" w:rsidP="00A90E5F">
      <w:pPr>
        <w:tabs>
          <w:tab w:val="left" w:pos="284"/>
        </w:tabs>
        <w:spacing w:line="340" w:lineRule="exact"/>
        <w:rPr>
          <w:sz w:val="22"/>
          <w:szCs w:val="22"/>
        </w:rPr>
      </w:pPr>
      <w:r>
        <w:rPr>
          <w:sz w:val="22"/>
          <w:szCs w:val="22"/>
        </w:rPr>
        <w:t xml:space="preserve"> - </w:t>
      </w:r>
      <w:r w:rsidR="0083797D" w:rsidRPr="00A90E5F">
        <w:rPr>
          <w:sz w:val="22"/>
          <w:szCs w:val="22"/>
        </w:rPr>
        <w:t>Desire for breast conservation,</w:t>
      </w:r>
    </w:p>
    <w:p w14:paraId="6D026321" w14:textId="1B8571F1" w:rsidR="0083797D" w:rsidRPr="00A90E5F" w:rsidRDefault="00BB39D6" w:rsidP="00A90E5F">
      <w:pPr>
        <w:tabs>
          <w:tab w:val="left" w:pos="284"/>
        </w:tabs>
        <w:spacing w:line="340" w:lineRule="exact"/>
        <w:rPr>
          <w:sz w:val="22"/>
          <w:szCs w:val="22"/>
        </w:rPr>
      </w:pPr>
      <w:r>
        <w:rPr>
          <w:sz w:val="22"/>
          <w:szCs w:val="22"/>
        </w:rPr>
        <w:t xml:space="preserve"> - </w:t>
      </w:r>
      <w:r w:rsidR="0083797D" w:rsidRPr="00A90E5F">
        <w:rPr>
          <w:sz w:val="22"/>
          <w:szCs w:val="22"/>
        </w:rPr>
        <w:t>Need to delay surgery (comorbidities, pregnancy…).</w:t>
      </w:r>
    </w:p>
    <w:p w14:paraId="0FA1E0F4" w14:textId="77777777" w:rsidR="0083797D" w:rsidRPr="00A90E5F" w:rsidRDefault="0083797D" w:rsidP="00A90E5F">
      <w:pPr>
        <w:tabs>
          <w:tab w:val="left" w:pos="284"/>
        </w:tabs>
        <w:spacing w:line="340" w:lineRule="exact"/>
        <w:rPr>
          <w:sz w:val="22"/>
          <w:szCs w:val="22"/>
        </w:rPr>
      </w:pPr>
      <w:r w:rsidRPr="00A90E5F">
        <w:rPr>
          <w:sz w:val="22"/>
          <w:szCs w:val="22"/>
        </w:rPr>
        <w:t>Common regimens: AC, AC-T, TC, AC-TH, TCH/P; either standard or dose-dense.</w:t>
      </w:r>
    </w:p>
    <w:p w14:paraId="503F9CC6" w14:textId="77777777" w:rsidR="0083797D" w:rsidRPr="00A90E5F" w:rsidRDefault="0083797D" w:rsidP="00A90E5F">
      <w:pPr>
        <w:tabs>
          <w:tab w:val="left" w:pos="284"/>
        </w:tabs>
        <w:spacing w:line="340" w:lineRule="exact"/>
        <w:rPr>
          <w:b/>
          <w:bCs/>
          <w:i/>
          <w:iCs/>
          <w:sz w:val="22"/>
          <w:szCs w:val="22"/>
        </w:rPr>
      </w:pPr>
      <w:r w:rsidRPr="00A90E5F">
        <w:rPr>
          <w:b/>
          <w:bCs/>
          <w:i/>
          <w:iCs/>
          <w:sz w:val="22"/>
          <w:szCs w:val="22"/>
        </w:rPr>
        <w:t>1.6.1. Response Evaluation After NACT</w:t>
      </w:r>
    </w:p>
    <w:p w14:paraId="336E313F" w14:textId="77777777" w:rsidR="0083797D" w:rsidRPr="00A90E5F" w:rsidRDefault="0083797D" w:rsidP="00A90E5F">
      <w:pPr>
        <w:tabs>
          <w:tab w:val="left" w:pos="284"/>
        </w:tabs>
        <w:spacing w:line="340" w:lineRule="exact"/>
        <w:rPr>
          <w:sz w:val="22"/>
          <w:szCs w:val="22"/>
        </w:rPr>
      </w:pPr>
      <w:r w:rsidRPr="00A90E5F">
        <w:rPr>
          <w:sz w:val="22"/>
          <w:szCs w:val="22"/>
        </w:rPr>
        <w:t>1.6.1.1. Clinical Response (RECIST 1.1)</w:t>
      </w:r>
    </w:p>
    <w:p w14:paraId="25640525" w14:textId="77777777" w:rsidR="0083797D" w:rsidRPr="00A90E5F" w:rsidRDefault="0083797D" w:rsidP="00A90E5F">
      <w:pPr>
        <w:tabs>
          <w:tab w:val="left" w:pos="284"/>
        </w:tabs>
        <w:spacing w:line="340" w:lineRule="exact"/>
        <w:rPr>
          <w:sz w:val="22"/>
          <w:szCs w:val="22"/>
        </w:rPr>
      </w:pPr>
      <w:r w:rsidRPr="00A90E5F">
        <w:rPr>
          <w:sz w:val="22"/>
          <w:szCs w:val="22"/>
        </w:rPr>
        <w:t>- cCR: complete disappearance of target lesions,</w:t>
      </w:r>
    </w:p>
    <w:p w14:paraId="09262C52" w14:textId="77777777" w:rsidR="0083797D" w:rsidRPr="00A90E5F" w:rsidRDefault="0083797D" w:rsidP="00A90E5F">
      <w:pPr>
        <w:tabs>
          <w:tab w:val="left" w:pos="284"/>
        </w:tabs>
        <w:spacing w:line="340" w:lineRule="exact"/>
        <w:rPr>
          <w:sz w:val="22"/>
          <w:szCs w:val="22"/>
        </w:rPr>
      </w:pPr>
      <w:r w:rsidRPr="00A90E5F">
        <w:rPr>
          <w:sz w:val="22"/>
          <w:szCs w:val="22"/>
        </w:rPr>
        <w:t>- cPR: ≥30% reduction in tumor size,</w:t>
      </w:r>
    </w:p>
    <w:p w14:paraId="187EEB08" w14:textId="77777777" w:rsidR="0083797D" w:rsidRPr="00A90E5F" w:rsidRDefault="0083797D" w:rsidP="00A90E5F">
      <w:pPr>
        <w:tabs>
          <w:tab w:val="left" w:pos="284"/>
        </w:tabs>
        <w:spacing w:line="340" w:lineRule="exact"/>
        <w:rPr>
          <w:sz w:val="22"/>
          <w:szCs w:val="22"/>
        </w:rPr>
      </w:pPr>
      <w:r w:rsidRPr="00A90E5F">
        <w:rPr>
          <w:sz w:val="22"/>
          <w:szCs w:val="22"/>
        </w:rPr>
        <w:t>- SD: insufficient change for PR/PD,</w:t>
      </w:r>
    </w:p>
    <w:p w14:paraId="580B4FF2" w14:textId="77777777" w:rsidR="0083797D" w:rsidRPr="00A90E5F" w:rsidRDefault="0083797D" w:rsidP="00A90E5F">
      <w:pPr>
        <w:tabs>
          <w:tab w:val="left" w:pos="284"/>
        </w:tabs>
        <w:spacing w:line="340" w:lineRule="exact"/>
        <w:rPr>
          <w:sz w:val="22"/>
          <w:szCs w:val="22"/>
        </w:rPr>
      </w:pPr>
      <w:r w:rsidRPr="00A90E5F">
        <w:rPr>
          <w:sz w:val="22"/>
          <w:szCs w:val="22"/>
        </w:rPr>
        <w:t>- PD: ≥20% increase or new lesions.</w:t>
      </w:r>
    </w:p>
    <w:p w14:paraId="4506E00A" w14:textId="77777777" w:rsidR="0083797D" w:rsidRPr="00A90E5F" w:rsidRDefault="0083797D" w:rsidP="00A90E5F">
      <w:pPr>
        <w:tabs>
          <w:tab w:val="left" w:pos="284"/>
        </w:tabs>
        <w:spacing w:line="340" w:lineRule="exact"/>
        <w:rPr>
          <w:sz w:val="22"/>
          <w:szCs w:val="22"/>
        </w:rPr>
      </w:pPr>
      <w:r w:rsidRPr="00A90E5F">
        <w:rPr>
          <w:sz w:val="22"/>
          <w:szCs w:val="22"/>
        </w:rPr>
        <w:t>1.6.1.2. Pathological Response</w:t>
      </w:r>
    </w:p>
    <w:p w14:paraId="33CDB367" w14:textId="77777777" w:rsidR="0083797D" w:rsidRPr="00A90E5F" w:rsidRDefault="0083797D" w:rsidP="00A90E5F">
      <w:pPr>
        <w:tabs>
          <w:tab w:val="left" w:pos="284"/>
        </w:tabs>
        <w:spacing w:line="340" w:lineRule="exact"/>
        <w:rPr>
          <w:sz w:val="22"/>
          <w:szCs w:val="22"/>
        </w:rPr>
      </w:pPr>
      <w:r w:rsidRPr="00A90E5F">
        <w:rPr>
          <w:sz w:val="22"/>
          <w:szCs w:val="22"/>
        </w:rPr>
        <w:tab/>
        <w:t xml:space="preserve">Classification systems include Miller–Payne, Chevallier, Sataloff, RCB (0–III), CTNeoBC, GEPARDUO, Pinder, JBCS, etc. Definitions </w:t>
      </w:r>
      <w:r w:rsidRPr="00A90E5F">
        <w:rPr>
          <w:sz w:val="22"/>
          <w:szCs w:val="22"/>
        </w:rPr>
        <w:lastRenderedPageBreak/>
        <w:t>of pCR vary: some use ypT0N0 (no residual invasive or in situ disease), others accept residual DCIS (ypT0/is ypN0). ASCO 2021 and CTNeoBC recommend using ypT0/is ypN0, which is applied in this study.</w:t>
      </w:r>
    </w:p>
    <w:p w14:paraId="7568531A" w14:textId="77777777" w:rsidR="0083797D" w:rsidRPr="00A90E5F" w:rsidRDefault="0083797D" w:rsidP="00A90E5F">
      <w:pPr>
        <w:tabs>
          <w:tab w:val="left" w:pos="284"/>
        </w:tabs>
        <w:spacing w:line="340" w:lineRule="exact"/>
        <w:rPr>
          <w:sz w:val="22"/>
          <w:szCs w:val="22"/>
        </w:rPr>
      </w:pPr>
      <w:r w:rsidRPr="00A90E5F">
        <w:rPr>
          <w:sz w:val="22"/>
          <w:szCs w:val="22"/>
        </w:rPr>
        <w:tab/>
        <w:t>Prognostic role of pCR by subtype: In TNBC and HER2-positive/ER-negative cancers, pCR is strongly associated with reduced recurrence and improved survival. In Luminal (ER-positive) tumors, pCR is less frequent and less predictive, necessitating additional markers (Ki-67, grade 3…).</w:t>
      </w:r>
    </w:p>
    <w:p w14:paraId="3E4900BC" w14:textId="77777777" w:rsidR="0083797D" w:rsidRPr="00A90E5F" w:rsidRDefault="0083797D" w:rsidP="00A90E5F">
      <w:pPr>
        <w:tabs>
          <w:tab w:val="left" w:pos="284"/>
        </w:tabs>
        <w:spacing w:line="340" w:lineRule="exact"/>
        <w:rPr>
          <w:sz w:val="22"/>
          <w:szCs w:val="22"/>
        </w:rPr>
      </w:pPr>
      <w:r w:rsidRPr="00A90E5F">
        <w:rPr>
          <w:sz w:val="22"/>
          <w:szCs w:val="22"/>
        </w:rPr>
        <w:t>pCR is a key indicator of treatment efficacy and prognosis, particularly in TNBC and HER2-positive subtypes. Accurate response assessment helps guide subsequent treatment decisions and enables personalization.</w:t>
      </w:r>
    </w:p>
    <w:p w14:paraId="11AE028B" w14:textId="77777777" w:rsidR="0083797D" w:rsidRPr="00A90E5F" w:rsidRDefault="0083797D" w:rsidP="00A90E5F">
      <w:pPr>
        <w:tabs>
          <w:tab w:val="left" w:pos="284"/>
        </w:tabs>
        <w:spacing w:line="340" w:lineRule="exact"/>
        <w:rPr>
          <w:b/>
          <w:bCs/>
          <w:sz w:val="22"/>
          <w:szCs w:val="22"/>
        </w:rPr>
      </w:pPr>
      <w:r w:rsidRPr="00A90E5F">
        <w:rPr>
          <w:b/>
          <w:bCs/>
          <w:sz w:val="22"/>
          <w:szCs w:val="22"/>
        </w:rPr>
        <w:t>1.7. Surgical Treatment After NACT</w:t>
      </w:r>
    </w:p>
    <w:p w14:paraId="5BA44498" w14:textId="77777777" w:rsidR="0083797D" w:rsidRPr="00A90E5F" w:rsidRDefault="0083797D" w:rsidP="00A90E5F">
      <w:pPr>
        <w:tabs>
          <w:tab w:val="left" w:pos="284"/>
        </w:tabs>
        <w:spacing w:line="340" w:lineRule="exact"/>
        <w:rPr>
          <w:b/>
          <w:bCs/>
          <w:i/>
          <w:iCs/>
          <w:sz w:val="22"/>
          <w:szCs w:val="22"/>
        </w:rPr>
      </w:pPr>
      <w:r w:rsidRPr="00A90E5F">
        <w:rPr>
          <w:b/>
          <w:bCs/>
          <w:i/>
          <w:iCs/>
          <w:sz w:val="22"/>
          <w:szCs w:val="22"/>
        </w:rPr>
        <w:t>1.7.1. Historical Evolution of Breast Cancer Surgery</w:t>
      </w:r>
    </w:p>
    <w:p w14:paraId="47E85A9A" w14:textId="77777777" w:rsidR="0083797D" w:rsidRPr="00A90E5F" w:rsidRDefault="0083797D" w:rsidP="00A90E5F">
      <w:pPr>
        <w:tabs>
          <w:tab w:val="left" w:pos="284"/>
        </w:tabs>
        <w:spacing w:line="340" w:lineRule="exact"/>
        <w:rPr>
          <w:b/>
          <w:bCs/>
          <w:i/>
          <w:iCs/>
          <w:sz w:val="22"/>
          <w:szCs w:val="22"/>
        </w:rPr>
      </w:pPr>
      <w:r w:rsidRPr="00A90E5F">
        <w:rPr>
          <w:b/>
          <w:bCs/>
          <w:i/>
          <w:iCs/>
          <w:sz w:val="22"/>
          <w:szCs w:val="22"/>
        </w:rPr>
        <w:t>1.7.2. Surgical Techniques</w:t>
      </w:r>
    </w:p>
    <w:p w14:paraId="37E8A88D" w14:textId="77777777" w:rsidR="0083797D" w:rsidRPr="00A90E5F" w:rsidRDefault="0083797D" w:rsidP="00A90E5F">
      <w:pPr>
        <w:tabs>
          <w:tab w:val="left" w:pos="284"/>
        </w:tabs>
        <w:spacing w:line="340" w:lineRule="exact"/>
        <w:rPr>
          <w:sz w:val="22"/>
          <w:szCs w:val="22"/>
        </w:rPr>
      </w:pPr>
      <w:r w:rsidRPr="00A90E5F">
        <w:rPr>
          <w:sz w:val="22"/>
          <w:szCs w:val="22"/>
        </w:rPr>
        <w:tab/>
        <w:t>Surgery remains central to the treatment of stage III breast cancer post-NACT. Depending on response and pathology, options include MRM, skin-sparing mastectomy (SSM), nipple-sparing mastectomy (NSM), or breast-conserving surgery (BCS). Axillary management includes sentinel lymph node biopsy (SLNB) or axillary lymph node dissection (ALND).</w:t>
      </w:r>
    </w:p>
    <w:p w14:paraId="7397048F" w14:textId="77777777" w:rsidR="0083797D" w:rsidRPr="00A90E5F" w:rsidRDefault="0083797D" w:rsidP="00A90E5F">
      <w:pPr>
        <w:tabs>
          <w:tab w:val="left" w:pos="284"/>
        </w:tabs>
        <w:spacing w:line="340" w:lineRule="exact"/>
        <w:rPr>
          <w:sz w:val="22"/>
          <w:szCs w:val="22"/>
        </w:rPr>
      </w:pPr>
      <w:r w:rsidRPr="00A90E5F">
        <w:rPr>
          <w:sz w:val="22"/>
          <w:szCs w:val="22"/>
        </w:rPr>
        <w:t>1.7.3. Role of Surgery After NACT</w:t>
      </w:r>
    </w:p>
    <w:p w14:paraId="0396CBE7" w14:textId="77777777" w:rsidR="0083797D" w:rsidRPr="00A90E5F" w:rsidRDefault="0083797D" w:rsidP="00A90E5F">
      <w:pPr>
        <w:tabs>
          <w:tab w:val="left" w:pos="284"/>
        </w:tabs>
        <w:spacing w:line="340" w:lineRule="exact"/>
        <w:rPr>
          <w:sz w:val="22"/>
          <w:szCs w:val="22"/>
        </w:rPr>
      </w:pPr>
      <w:r w:rsidRPr="00A90E5F">
        <w:rPr>
          <w:sz w:val="22"/>
          <w:szCs w:val="22"/>
        </w:rPr>
        <w:tab/>
        <w:t xml:space="preserve">Beyond resection, surgery allows for pathological response assessment (pCR), informs adjuvant therapy, supports prophylactic </w:t>
      </w:r>
      <w:r w:rsidRPr="00A90E5F">
        <w:rPr>
          <w:sz w:val="22"/>
          <w:szCs w:val="22"/>
        </w:rPr>
        <w:lastRenderedPageBreak/>
        <w:t>options (e.g., BRCA+), and may reduce ALND in good responders. Tumor localization requires clips or markers placed before NACT.</w:t>
      </w:r>
    </w:p>
    <w:p w14:paraId="4B190A66" w14:textId="77777777" w:rsidR="0083797D" w:rsidRPr="00A90E5F" w:rsidRDefault="0083797D" w:rsidP="00A90E5F">
      <w:pPr>
        <w:tabs>
          <w:tab w:val="left" w:pos="284"/>
        </w:tabs>
        <w:spacing w:line="340" w:lineRule="exact"/>
        <w:rPr>
          <w:b/>
          <w:bCs/>
          <w:i/>
          <w:iCs/>
          <w:sz w:val="22"/>
          <w:szCs w:val="22"/>
        </w:rPr>
      </w:pPr>
      <w:r w:rsidRPr="00A90E5F">
        <w:rPr>
          <w:b/>
          <w:bCs/>
          <w:i/>
          <w:iCs/>
          <w:sz w:val="22"/>
          <w:szCs w:val="22"/>
        </w:rPr>
        <w:t>1.7.4. Surgical Selection After NACT</w:t>
      </w:r>
    </w:p>
    <w:p w14:paraId="1AB0CEB6" w14:textId="77777777" w:rsidR="0083797D" w:rsidRPr="00A90E5F" w:rsidRDefault="0083797D" w:rsidP="00A90E5F">
      <w:pPr>
        <w:tabs>
          <w:tab w:val="left" w:pos="284"/>
        </w:tabs>
        <w:spacing w:line="340" w:lineRule="exact"/>
        <w:rPr>
          <w:sz w:val="22"/>
          <w:szCs w:val="22"/>
        </w:rPr>
      </w:pPr>
      <w:r w:rsidRPr="00A90E5F">
        <w:rPr>
          <w:sz w:val="22"/>
          <w:szCs w:val="22"/>
        </w:rPr>
        <w:tab/>
        <w:t>In Vietnam, MRM remains predominant due to delayed diagnosis, large/invasive tumors, and limitations in imaging, radiotherapy, cost, and patient awareness. Early planning for breast conservation is essential, requiring multidisciplinary coordination as part of personalized care.</w:t>
      </w:r>
    </w:p>
    <w:p w14:paraId="0BF6E5ED" w14:textId="0A96DB1D" w:rsidR="0083797D" w:rsidRPr="00A90E5F" w:rsidRDefault="0083797D" w:rsidP="00A90E5F">
      <w:pPr>
        <w:tabs>
          <w:tab w:val="left" w:pos="284"/>
        </w:tabs>
        <w:spacing w:line="340" w:lineRule="exact"/>
        <w:rPr>
          <w:b/>
          <w:bCs/>
          <w:sz w:val="22"/>
          <w:szCs w:val="22"/>
        </w:rPr>
      </w:pPr>
      <w:r w:rsidRPr="00A90E5F">
        <w:rPr>
          <w:b/>
          <w:bCs/>
          <w:sz w:val="22"/>
          <w:szCs w:val="22"/>
        </w:rPr>
        <w:t>1.8. Research on NACT and Surgery in Stage III</w:t>
      </w:r>
    </w:p>
    <w:p w14:paraId="19DF655B" w14:textId="77777777" w:rsidR="0083797D" w:rsidRPr="00A90E5F" w:rsidRDefault="0083797D" w:rsidP="00A90E5F">
      <w:pPr>
        <w:tabs>
          <w:tab w:val="left" w:pos="284"/>
        </w:tabs>
        <w:spacing w:line="340" w:lineRule="exact"/>
        <w:rPr>
          <w:sz w:val="22"/>
          <w:szCs w:val="22"/>
        </w:rPr>
      </w:pPr>
      <w:r w:rsidRPr="00A90E5F">
        <w:rPr>
          <w:sz w:val="22"/>
          <w:szCs w:val="22"/>
        </w:rPr>
        <w:t>-</w:t>
      </w:r>
      <w:r w:rsidRPr="00A90E5F">
        <w:rPr>
          <w:sz w:val="22"/>
          <w:szCs w:val="22"/>
        </w:rPr>
        <w:tab/>
        <w:t>International: NACT improves pCR rates (HER2+: up to 76%; TNBC: ~30–64%), enhances breast conservation, and survival. A trend toward reduced axillary dissection is seen in good responders.</w:t>
      </w:r>
    </w:p>
    <w:p w14:paraId="2A4006A3" w14:textId="77777777" w:rsidR="0083797D" w:rsidRPr="00A90E5F" w:rsidRDefault="0083797D" w:rsidP="00A90E5F">
      <w:pPr>
        <w:tabs>
          <w:tab w:val="left" w:pos="284"/>
        </w:tabs>
        <w:spacing w:line="340" w:lineRule="exact"/>
        <w:rPr>
          <w:sz w:val="22"/>
          <w:szCs w:val="22"/>
        </w:rPr>
      </w:pPr>
      <w:r w:rsidRPr="00A90E5F">
        <w:rPr>
          <w:sz w:val="22"/>
          <w:szCs w:val="22"/>
        </w:rPr>
        <w:t>-</w:t>
      </w:r>
      <w:r w:rsidRPr="00A90E5F">
        <w:rPr>
          <w:sz w:val="22"/>
          <w:szCs w:val="22"/>
        </w:rPr>
        <w:tab/>
        <w:t>Vietnam: pCR rates range from 16.8% to 31.4%. Recent studies from K Hospital and other major centers show high efficacy of 4AC–4T and dose-dense AC–T regimens. However, long-term survival data and molecular subtype analysis remain limited.</w:t>
      </w:r>
    </w:p>
    <w:p w14:paraId="0C2FD038" w14:textId="7A3E70C3" w:rsidR="009D09FB" w:rsidRPr="00A90E5F" w:rsidRDefault="009D09FB" w:rsidP="00A90E5F">
      <w:pPr>
        <w:tabs>
          <w:tab w:val="left" w:pos="284"/>
        </w:tabs>
        <w:spacing w:line="340" w:lineRule="exact"/>
        <w:rPr>
          <w:rFonts w:eastAsiaTheme="majorEastAsia"/>
          <w:b/>
          <w:sz w:val="22"/>
          <w:szCs w:val="22"/>
        </w:rPr>
      </w:pPr>
      <w:r w:rsidRPr="00A90E5F">
        <w:rPr>
          <w:rFonts w:eastAsiaTheme="majorEastAsia"/>
          <w:b/>
          <w:sz w:val="22"/>
          <w:szCs w:val="22"/>
        </w:rPr>
        <w:t>Chapter 2. STUDY SUBJECTS AND METHODS</w:t>
      </w:r>
    </w:p>
    <w:p w14:paraId="2153BC81" w14:textId="77777777" w:rsidR="009D09FB" w:rsidRPr="00A90E5F" w:rsidRDefault="009D09FB" w:rsidP="00A90E5F">
      <w:pPr>
        <w:tabs>
          <w:tab w:val="left" w:pos="284"/>
        </w:tabs>
        <w:spacing w:line="340" w:lineRule="exact"/>
        <w:rPr>
          <w:rFonts w:eastAsiaTheme="majorEastAsia"/>
          <w:b/>
          <w:sz w:val="22"/>
          <w:szCs w:val="22"/>
        </w:rPr>
      </w:pPr>
      <w:r w:rsidRPr="00A90E5F">
        <w:rPr>
          <w:rFonts w:eastAsiaTheme="majorEastAsia"/>
          <w:b/>
          <w:sz w:val="22"/>
          <w:szCs w:val="22"/>
        </w:rPr>
        <w:t>2.1. Study Subjects</w:t>
      </w:r>
    </w:p>
    <w:p w14:paraId="2F7F88D0" w14:textId="59459B15" w:rsidR="00A30B8B" w:rsidRPr="00A90E5F" w:rsidRDefault="00A9560A" w:rsidP="00A90E5F">
      <w:pPr>
        <w:tabs>
          <w:tab w:val="left" w:pos="284"/>
        </w:tabs>
        <w:spacing w:line="340" w:lineRule="exact"/>
        <w:rPr>
          <w:rFonts w:eastAsiaTheme="majorEastAsia"/>
          <w:bCs/>
          <w:sz w:val="22"/>
          <w:szCs w:val="22"/>
        </w:rPr>
      </w:pPr>
      <w:r w:rsidRPr="00A90E5F">
        <w:rPr>
          <w:rFonts w:eastAsiaTheme="majorEastAsia"/>
          <w:bCs/>
          <w:sz w:val="22"/>
          <w:szCs w:val="22"/>
        </w:rPr>
        <w:tab/>
      </w:r>
      <w:r w:rsidR="00A30B8B" w:rsidRPr="00A90E5F">
        <w:rPr>
          <w:rFonts w:eastAsiaTheme="majorEastAsia"/>
          <w:bCs/>
          <w:sz w:val="22"/>
          <w:szCs w:val="22"/>
        </w:rPr>
        <w:t>A total of 250 female patients with stage III invasive ductal carcinoma of the breast were treated with neoadjuvant chemotherapy (at least 3 cycles), followed by modified radical mastectomy (MRM) at the National Cancer Hospital, from August 2021 to June 2024.</w:t>
      </w:r>
    </w:p>
    <w:p w14:paraId="6CFD0BCD" w14:textId="0AF13576"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
          <w:i/>
          <w:iCs/>
          <w:sz w:val="22"/>
          <w:szCs w:val="22"/>
        </w:rPr>
        <w:t>2.1.1. Inclusion criteria:</w:t>
      </w:r>
      <w:r w:rsidRPr="00A90E5F">
        <w:rPr>
          <w:rFonts w:eastAsiaTheme="majorEastAsia"/>
          <w:bCs/>
          <w:sz w:val="22"/>
          <w:szCs w:val="22"/>
        </w:rPr>
        <w:t xml:space="preserve"> Age ≥18 years. Diagnosis of stage III breast cancer based on the TNM classification of the American Joint Committee on Cancer (AJCC), 8th edition (2017). Underwent MRM after receiving neoadjuvant chemotherapy. Complete medical records; </w:t>
      </w:r>
      <w:r w:rsidRPr="00A90E5F">
        <w:rPr>
          <w:rFonts w:eastAsiaTheme="majorEastAsia"/>
          <w:bCs/>
          <w:sz w:val="22"/>
          <w:szCs w:val="22"/>
        </w:rPr>
        <w:lastRenderedPageBreak/>
        <w:t>no history or evidence of other malignancies or prior cancer treatment. Voluntary consent to participate in the study.</w:t>
      </w:r>
    </w:p>
    <w:p w14:paraId="31DF4D29" w14:textId="0A06307E"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
          <w:i/>
          <w:iCs/>
          <w:sz w:val="22"/>
          <w:szCs w:val="22"/>
        </w:rPr>
        <w:t>2.1.2. Exclusion criteria:</w:t>
      </w:r>
      <w:r w:rsidRPr="00A90E5F">
        <w:rPr>
          <w:rFonts w:eastAsiaTheme="majorEastAsia"/>
          <w:bCs/>
          <w:sz w:val="22"/>
          <w:szCs w:val="22"/>
        </w:rPr>
        <w:t xml:space="preserve"> Non</w:t>
      </w:r>
      <w:r w:rsidR="00903F5B" w:rsidRPr="00A90E5F">
        <w:rPr>
          <w:rFonts w:eastAsiaTheme="majorEastAsia"/>
          <w:bCs/>
          <w:sz w:val="22"/>
          <w:szCs w:val="22"/>
        </w:rPr>
        <w:t>-</w:t>
      </w:r>
      <w:r w:rsidRPr="00A90E5F">
        <w:rPr>
          <w:rFonts w:eastAsiaTheme="majorEastAsia"/>
          <w:bCs/>
          <w:sz w:val="22"/>
          <w:szCs w:val="22"/>
        </w:rPr>
        <w:t>compliance with the treatment regimen due to personal reasons. Presence of severe comorbidities (e.g., congestive heart failure, chronic renal failure, severe liver dysfunction) affecting the feasibility of chemotherapy or surgery. Loss of surgical indication after completion of neoadjuvant therapy. Pregnancy during the course of treatment.</w:t>
      </w:r>
    </w:p>
    <w:p w14:paraId="2B932B50" w14:textId="666F149E"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
          <w:i/>
          <w:iCs/>
          <w:sz w:val="22"/>
          <w:szCs w:val="22"/>
        </w:rPr>
        <w:t>2.1.3. Withdrawal criteria:</w:t>
      </w:r>
      <w:r w:rsidRPr="00A90E5F">
        <w:rPr>
          <w:rFonts w:eastAsiaTheme="majorEastAsia"/>
          <w:bCs/>
          <w:sz w:val="22"/>
          <w:szCs w:val="22"/>
        </w:rPr>
        <w:t xml:space="preserve"> Patient refusal to continue participation or loss to follow</w:t>
      </w:r>
      <w:r w:rsidR="00903F5B" w:rsidRPr="00A90E5F">
        <w:rPr>
          <w:rFonts w:eastAsiaTheme="majorEastAsia"/>
          <w:bCs/>
          <w:sz w:val="22"/>
          <w:szCs w:val="22"/>
        </w:rPr>
        <w:t>-</w:t>
      </w:r>
      <w:r w:rsidRPr="00A90E5F">
        <w:rPr>
          <w:rFonts w:eastAsiaTheme="majorEastAsia"/>
          <w:bCs/>
          <w:sz w:val="22"/>
          <w:szCs w:val="22"/>
        </w:rPr>
        <w:t>up. Incomplete clinical or treatment outcome data. Ineligibility for surgery due to rapid disease progression, treatment redirection (e.g., preoperative radiotherapy), or unrelated critical medical events.Death before surgery or lack of postoperative histopathological data.</w:t>
      </w:r>
    </w:p>
    <w:p w14:paraId="395984CC" w14:textId="77777777" w:rsidR="00A30B8B" w:rsidRPr="00A90E5F" w:rsidRDefault="00A30B8B" w:rsidP="00A90E5F">
      <w:pPr>
        <w:tabs>
          <w:tab w:val="left" w:pos="284"/>
        </w:tabs>
        <w:spacing w:line="340" w:lineRule="exact"/>
        <w:rPr>
          <w:rFonts w:eastAsiaTheme="majorEastAsia"/>
          <w:b/>
          <w:sz w:val="22"/>
          <w:szCs w:val="22"/>
        </w:rPr>
      </w:pPr>
      <w:r w:rsidRPr="00A90E5F">
        <w:rPr>
          <w:rFonts w:eastAsiaTheme="majorEastAsia"/>
          <w:b/>
          <w:sz w:val="22"/>
          <w:szCs w:val="22"/>
        </w:rPr>
        <w:t>2.2. Research Methods</w:t>
      </w:r>
    </w:p>
    <w:p w14:paraId="6E65C2AB" w14:textId="124C68B3"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
          <w:i/>
          <w:iCs/>
          <w:sz w:val="22"/>
          <w:szCs w:val="22"/>
        </w:rPr>
        <w:t>2.2.1. Study Design:</w:t>
      </w:r>
      <w:r w:rsidRPr="00A90E5F">
        <w:rPr>
          <w:rFonts w:eastAsiaTheme="majorEastAsia"/>
          <w:bCs/>
          <w:sz w:val="22"/>
          <w:szCs w:val="22"/>
        </w:rPr>
        <w:t>A descriptive study combining retrospective and prospective components with longitudinal follow</w:t>
      </w:r>
      <w:r w:rsidR="00903F5B" w:rsidRPr="00A90E5F">
        <w:rPr>
          <w:rFonts w:eastAsiaTheme="majorEastAsia"/>
          <w:bCs/>
          <w:sz w:val="22"/>
          <w:szCs w:val="22"/>
        </w:rPr>
        <w:t>-</w:t>
      </w:r>
      <w:r w:rsidRPr="00A90E5F">
        <w:rPr>
          <w:rFonts w:eastAsiaTheme="majorEastAsia"/>
          <w:bCs/>
          <w:sz w:val="22"/>
          <w:szCs w:val="22"/>
        </w:rPr>
        <w:t>up.</w:t>
      </w:r>
    </w:p>
    <w:p w14:paraId="7C8DF6FA" w14:textId="5E4FD132"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Cs/>
          <w:sz w:val="22"/>
          <w:szCs w:val="22"/>
        </w:rPr>
        <w:t>2</w:t>
      </w:r>
      <w:r w:rsidRPr="00A90E5F">
        <w:rPr>
          <w:rFonts w:eastAsiaTheme="majorEastAsia"/>
          <w:b/>
          <w:i/>
          <w:iCs/>
          <w:sz w:val="22"/>
          <w:szCs w:val="22"/>
        </w:rPr>
        <w:t>.2.2. Sample Size:</w:t>
      </w:r>
      <w:r w:rsidR="00FB0C01" w:rsidRPr="00A90E5F">
        <w:rPr>
          <w:rFonts w:eastAsiaTheme="majorEastAsia"/>
          <w:b/>
          <w:i/>
          <w:iCs/>
          <w:sz w:val="22"/>
          <w:szCs w:val="22"/>
        </w:rPr>
        <w:t xml:space="preserve"> </w:t>
      </w:r>
      <w:r w:rsidRPr="00A90E5F">
        <w:rPr>
          <w:rFonts w:eastAsiaTheme="majorEastAsia"/>
          <w:bCs/>
          <w:sz w:val="22"/>
          <w:szCs w:val="22"/>
        </w:rPr>
        <w:t>The sample size was calculated based on the primary objective of estimating the pathological complete response (pCR) rate after neoadjuvant chemotherapy (NACT) in patients with stage III breast cancer. According to Spring et al. (2020), the average pCR rate was 21.1%. The minimum required sample size was 246 patients; this study included 250 patients.</w:t>
      </w:r>
    </w:p>
    <w:p w14:paraId="3EF86883" w14:textId="5A79D184"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
          <w:i/>
          <w:iCs/>
          <w:sz w:val="22"/>
          <w:szCs w:val="22"/>
        </w:rPr>
        <w:t>2.2.</w:t>
      </w:r>
      <w:r w:rsidR="005630D1">
        <w:rPr>
          <w:rFonts w:eastAsiaTheme="majorEastAsia"/>
          <w:b/>
          <w:i/>
          <w:iCs/>
          <w:sz w:val="22"/>
          <w:szCs w:val="22"/>
        </w:rPr>
        <w:t>4</w:t>
      </w:r>
      <w:r w:rsidRPr="00A90E5F">
        <w:rPr>
          <w:rFonts w:eastAsiaTheme="majorEastAsia"/>
          <w:b/>
          <w:i/>
          <w:iCs/>
          <w:sz w:val="22"/>
          <w:szCs w:val="22"/>
        </w:rPr>
        <w:t>. Study Procedure:</w:t>
      </w:r>
      <w:r w:rsidRPr="00A90E5F">
        <w:rPr>
          <w:rFonts w:eastAsiaTheme="majorEastAsia"/>
          <w:bCs/>
          <w:sz w:val="22"/>
          <w:szCs w:val="22"/>
        </w:rPr>
        <w:t xml:space="preserve"> Diagnosis and staging: Clinical examination, imaging studies, core needle biopsy, and staging based on the TNM classification (AJCC, 8th edition, 2017).</w:t>
      </w:r>
    </w:p>
    <w:p w14:paraId="35260E55" w14:textId="6D7F580E" w:rsidR="00A30B8B" w:rsidRPr="00A90E5F" w:rsidRDefault="00FB0C01" w:rsidP="00A90E5F">
      <w:pPr>
        <w:tabs>
          <w:tab w:val="left" w:pos="284"/>
        </w:tabs>
        <w:spacing w:line="340" w:lineRule="exact"/>
        <w:rPr>
          <w:rFonts w:eastAsiaTheme="majorEastAsia"/>
          <w:bCs/>
          <w:sz w:val="22"/>
          <w:szCs w:val="22"/>
        </w:rPr>
      </w:pPr>
      <w:r w:rsidRPr="00A90E5F">
        <w:rPr>
          <w:rFonts w:eastAsiaTheme="majorEastAsia"/>
          <w:bCs/>
          <w:sz w:val="22"/>
          <w:szCs w:val="22"/>
        </w:rPr>
        <w:lastRenderedPageBreak/>
        <w:t xml:space="preserve">- </w:t>
      </w:r>
      <w:r w:rsidR="00A30B8B" w:rsidRPr="00A90E5F">
        <w:rPr>
          <w:rFonts w:eastAsiaTheme="majorEastAsia"/>
          <w:bCs/>
          <w:sz w:val="22"/>
          <w:szCs w:val="22"/>
        </w:rPr>
        <w:t>Neoadjuvant chemotherapy (NACT): Regimens determined by the institutional multidisciplinary board and administered according to national treatment guidelines. Tumor response was assessed by RECIST 1.1 criteria. Patients achieving complete CR, PR, or SD were indicated for surgery. Progressive disease (PD) cases were managed individually. If surgery was still indicated post</w:t>
      </w:r>
      <w:r w:rsidR="00903F5B" w:rsidRPr="00A90E5F">
        <w:rPr>
          <w:rFonts w:eastAsiaTheme="majorEastAsia"/>
          <w:bCs/>
          <w:sz w:val="22"/>
          <w:szCs w:val="22"/>
        </w:rPr>
        <w:t>-</w:t>
      </w:r>
      <w:r w:rsidR="00A30B8B" w:rsidRPr="00A90E5F">
        <w:rPr>
          <w:rFonts w:eastAsiaTheme="majorEastAsia"/>
          <w:bCs/>
          <w:sz w:val="22"/>
          <w:szCs w:val="22"/>
        </w:rPr>
        <w:t>NACT or after switching regimens, patients remained eligible for inclusion.</w:t>
      </w:r>
    </w:p>
    <w:p w14:paraId="0530FD8C" w14:textId="25806567" w:rsidR="00A30B8B" w:rsidRPr="00A90E5F" w:rsidRDefault="00FB0C01" w:rsidP="00A90E5F">
      <w:pPr>
        <w:tabs>
          <w:tab w:val="left" w:pos="284"/>
        </w:tabs>
        <w:spacing w:line="340" w:lineRule="exact"/>
        <w:rPr>
          <w:rFonts w:eastAsiaTheme="majorEastAsia"/>
          <w:bCs/>
          <w:sz w:val="22"/>
          <w:szCs w:val="22"/>
        </w:rPr>
      </w:pPr>
      <w:r w:rsidRPr="00A90E5F">
        <w:rPr>
          <w:rFonts w:eastAsiaTheme="majorEastAsia"/>
          <w:bCs/>
          <w:sz w:val="22"/>
          <w:szCs w:val="22"/>
        </w:rPr>
        <w:t xml:space="preserve">- </w:t>
      </w:r>
      <w:r w:rsidR="00A30B8B" w:rsidRPr="00A90E5F">
        <w:rPr>
          <w:rFonts w:eastAsiaTheme="majorEastAsia"/>
          <w:bCs/>
          <w:sz w:val="22"/>
          <w:szCs w:val="22"/>
        </w:rPr>
        <w:t>Modified radical mastectomy (MRM): Performed following standard procedures including preoperative assessment, mastectomy, and axillary lymph node dissection.</w:t>
      </w:r>
    </w:p>
    <w:p w14:paraId="74A38FDB" w14:textId="1E1B4976" w:rsidR="00A30B8B" w:rsidRPr="00A90E5F" w:rsidRDefault="00FB0C01" w:rsidP="00A90E5F">
      <w:pPr>
        <w:tabs>
          <w:tab w:val="left" w:pos="284"/>
        </w:tabs>
        <w:spacing w:line="340" w:lineRule="exact"/>
        <w:rPr>
          <w:rFonts w:eastAsiaTheme="majorEastAsia"/>
          <w:bCs/>
          <w:sz w:val="22"/>
          <w:szCs w:val="22"/>
        </w:rPr>
      </w:pPr>
      <w:r w:rsidRPr="00A90E5F">
        <w:rPr>
          <w:rFonts w:eastAsiaTheme="majorEastAsia"/>
          <w:bCs/>
          <w:sz w:val="22"/>
          <w:szCs w:val="22"/>
        </w:rPr>
        <w:t xml:space="preserve">- </w:t>
      </w:r>
      <w:r w:rsidR="00A30B8B" w:rsidRPr="00A90E5F">
        <w:rPr>
          <w:rFonts w:eastAsiaTheme="majorEastAsia"/>
          <w:bCs/>
          <w:sz w:val="22"/>
          <w:szCs w:val="22"/>
        </w:rPr>
        <w:t>Postoperative follow</w:t>
      </w:r>
      <w:r w:rsidR="00903F5B" w:rsidRPr="00A90E5F">
        <w:rPr>
          <w:rFonts w:eastAsiaTheme="majorEastAsia"/>
          <w:bCs/>
          <w:sz w:val="22"/>
          <w:szCs w:val="22"/>
        </w:rPr>
        <w:t>-</w:t>
      </w:r>
      <w:r w:rsidR="00A30B8B" w:rsidRPr="00A90E5F">
        <w:rPr>
          <w:rFonts w:eastAsiaTheme="majorEastAsia"/>
          <w:bCs/>
          <w:sz w:val="22"/>
          <w:szCs w:val="22"/>
        </w:rPr>
        <w:t>up: Monitoring of vital signs and early postoperative complications, classified using the Clavien</w:t>
      </w:r>
      <w:r w:rsidR="00903F5B" w:rsidRPr="00A90E5F">
        <w:rPr>
          <w:rFonts w:eastAsiaTheme="majorEastAsia"/>
          <w:bCs/>
          <w:sz w:val="22"/>
          <w:szCs w:val="22"/>
        </w:rPr>
        <w:t>-</w:t>
      </w:r>
      <w:r w:rsidR="00A30B8B" w:rsidRPr="00A90E5F">
        <w:rPr>
          <w:rFonts w:eastAsiaTheme="majorEastAsia"/>
          <w:bCs/>
          <w:sz w:val="22"/>
          <w:szCs w:val="22"/>
        </w:rPr>
        <w:t>Dindo system.</w:t>
      </w:r>
    </w:p>
    <w:p w14:paraId="41D2B267" w14:textId="22C1679F" w:rsidR="00A30B8B" w:rsidRDefault="00FB0C01" w:rsidP="00A90E5F">
      <w:pPr>
        <w:tabs>
          <w:tab w:val="left" w:pos="284"/>
        </w:tabs>
        <w:spacing w:line="340" w:lineRule="exact"/>
        <w:rPr>
          <w:rFonts w:eastAsiaTheme="majorEastAsia"/>
          <w:bCs/>
          <w:sz w:val="22"/>
          <w:szCs w:val="22"/>
        </w:rPr>
      </w:pPr>
      <w:r w:rsidRPr="00A90E5F">
        <w:rPr>
          <w:rFonts w:eastAsiaTheme="majorEastAsia"/>
          <w:bCs/>
          <w:sz w:val="22"/>
          <w:szCs w:val="22"/>
        </w:rPr>
        <w:t xml:space="preserve">- </w:t>
      </w:r>
      <w:r w:rsidR="00A30B8B" w:rsidRPr="00A90E5F">
        <w:rPr>
          <w:rFonts w:eastAsiaTheme="majorEastAsia"/>
          <w:bCs/>
          <w:sz w:val="22"/>
          <w:szCs w:val="22"/>
        </w:rPr>
        <w:t>Survival monitoring: Scheduled follow</w:t>
      </w:r>
      <w:r w:rsidR="00903F5B" w:rsidRPr="00A90E5F">
        <w:rPr>
          <w:rFonts w:eastAsiaTheme="majorEastAsia"/>
          <w:bCs/>
          <w:sz w:val="22"/>
          <w:szCs w:val="22"/>
        </w:rPr>
        <w:t>-</w:t>
      </w:r>
      <w:r w:rsidR="00A30B8B" w:rsidRPr="00A90E5F">
        <w:rPr>
          <w:rFonts w:eastAsiaTheme="majorEastAsia"/>
          <w:bCs/>
          <w:sz w:val="22"/>
          <w:szCs w:val="22"/>
        </w:rPr>
        <w:t>up visits were conducted to record event</w:t>
      </w:r>
      <w:r w:rsidR="00903F5B" w:rsidRPr="00A90E5F">
        <w:rPr>
          <w:rFonts w:eastAsiaTheme="majorEastAsia"/>
          <w:bCs/>
          <w:sz w:val="22"/>
          <w:szCs w:val="22"/>
        </w:rPr>
        <w:t>-</w:t>
      </w:r>
      <w:r w:rsidR="00A30B8B" w:rsidRPr="00A90E5F">
        <w:rPr>
          <w:rFonts w:eastAsiaTheme="majorEastAsia"/>
          <w:bCs/>
          <w:sz w:val="22"/>
          <w:szCs w:val="22"/>
        </w:rPr>
        <w:t>free survival (EFS) and overall survival (OS).</w:t>
      </w:r>
    </w:p>
    <w:p w14:paraId="43B18CEB" w14:textId="69CA8E3A" w:rsidR="005630D1" w:rsidRDefault="005630D1" w:rsidP="00A90E5F">
      <w:pPr>
        <w:tabs>
          <w:tab w:val="left" w:pos="284"/>
        </w:tabs>
        <w:spacing w:line="340" w:lineRule="exact"/>
        <w:rPr>
          <w:rFonts w:eastAsiaTheme="majorEastAsia"/>
          <w:bCs/>
          <w:sz w:val="22"/>
          <w:szCs w:val="22"/>
        </w:rPr>
      </w:pPr>
      <w:r w:rsidRPr="00A90E5F">
        <w:rPr>
          <w:rFonts w:eastAsiaTheme="majorEastAsia"/>
          <w:b/>
          <w:i/>
          <w:iCs/>
          <w:sz w:val="22"/>
          <w:szCs w:val="22"/>
        </w:rPr>
        <w:t>2.2.</w:t>
      </w:r>
      <w:r>
        <w:rPr>
          <w:rFonts w:eastAsiaTheme="majorEastAsia"/>
          <w:b/>
          <w:i/>
          <w:iCs/>
          <w:sz w:val="22"/>
          <w:szCs w:val="22"/>
        </w:rPr>
        <w:t>4</w:t>
      </w:r>
      <w:r w:rsidRPr="00A90E5F">
        <w:rPr>
          <w:rFonts w:eastAsiaTheme="majorEastAsia"/>
          <w:b/>
          <w:i/>
          <w:iCs/>
          <w:sz w:val="22"/>
          <w:szCs w:val="22"/>
        </w:rPr>
        <w:t>. Study Instruments:</w:t>
      </w:r>
      <w:r w:rsidRPr="00A90E5F">
        <w:rPr>
          <w:rFonts w:eastAsiaTheme="majorEastAsia"/>
          <w:bCs/>
          <w:sz w:val="22"/>
          <w:szCs w:val="22"/>
        </w:rPr>
        <w:t xml:space="preserve"> Data were collected from medical records, laboratory test results, imaging studies (ultrasound, mammography, MRI, PET/CT if available), and histopathological findings.</w:t>
      </w:r>
    </w:p>
    <w:p w14:paraId="70B113F4" w14:textId="421705B5" w:rsidR="00893E23" w:rsidRPr="00893E23" w:rsidRDefault="00893E23" w:rsidP="00A90E5F">
      <w:pPr>
        <w:tabs>
          <w:tab w:val="left" w:pos="284"/>
        </w:tabs>
        <w:spacing w:line="340" w:lineRule="exact"/>
        <w:rPr>
          <w:rFonts w:eastAsiaTheme="majorEastAsia"/>
          <w:b/>
          <w:i/>
          <w:iCs/>
          <w:sz w:val="22"/>
          <w:szCs w:val="22"/>
        </w:rPr>
      </w:pPr>
      <w:r w:rsidRPr="00A90E5F">
        <w:rPr>
          <w:rFonts w:eastAsiaTheme="majorEastAsia"/>
          <w:b/>
          <w:i/>
          <w:iCs/>
          <w:sz w:val="22"/>
          <w:szCs w:val="22"/>
        </w:rPr>
        <w:t>2.2.</w:t>
      </w:r>
      <w:r>
        <w:rPr>
          <w:rFonts w:eastAsiaTheme="majorEastAsia"/>
          <w:b/>
          <w:i/>
          <w:iCs/>
          <w:sz w:val="22"/>
          <w:szCs w:val="22"/>
        </w:rPr>
        <w:t>5</w:t>
      </w:r>
      <w:r w:rsidRPr="00A90E5F">
        <w:rPr>
          <w:rFonts w:eastAsiaTheme="majorEastAsia"/>
          <w:b/>
          <w:i/>
          <w:iCs/>
          <w:sz w:val="22"/>
          <w:szCs w:val="22"/>
        </w:rPr>
        <w:t>. Modified Radical Mastectomy Procedure</w:t>
      </w:r>
    </w:p>
    <w:p w14:paraId="259DCAF8" w14:textId="74689D57" w:rsidR="00A30B8B" w:rsidRPr="00A90E5F" w:rsidRDefault="00A30B8B" w:rsidP="00A90E5F">
      <w:pPr>
        <w:tabs>
          <w:tab w:val="left" w:pos="284"/>
        </w:tabs>
        <w:spacing w:line="340" w:lineRule="exact"/>
        <w:rPr>
          <w:rFonts w:eastAsiaTheme="majorEastAsia"/>
          <w:b/>
          <w:i/>
          <w:iCs/>
          <w:sz w:val="22"/>
          <w:szCs w:val="22"/>
        </w:rPr>
      </w:pPr>
      <w:r w:rsidRPr="00A90E5F">
        <w:rPr>
          <w:rFonts w:eastAsiaTheme="majorEastAsia"/>
          <w:b/>
          <w:i/>
          <w:iCs/>
          <w:sz w:val="22"/>
          <w:szCs w:val="22"/>
        </w:rPr>
        <w:t>2.2.</w:t>
      </w:r>
      <w:r w:rsidR="00893E23">
        <w:rPr>
          <w:rFonts w:eastAsiaTheme="majorEastAsia"/>
          <w:b/>
          <w:i/>
          <w:iCs/>
          <w:sz w:val="22"/>
          <w:szCs w:val="22"/>
        </w:rPr>
        <w:t>6</w:t>
      </w:r>
      <w:r w:rsidRPr="00A90E5F">
        <w:rPr>
          <w:rFonts w:eastAsiaTheme="majorEastAsia"/>
          <w:b/>
          <w:i/>
          <w:iCs/>
          <w:sz w:val="22"/>
          <w:szCs w:val="22"/>
        </w:rPr>
        <w:t>. Study Indicators</w:t>
      </w:r>
    </w:p>
    <w:p w14:paraId="4451EB21" w14:textId="77777777" w:rsidR="00BB39D6" w:rsidRDefault="00A30B8B" w:rsidP="00A90E5F">
      <w:pPr>
        <w:tabs>
          <w:tab w:val="left" w:pos="284"/>
        </w:tabs>
        <w:spacing w:line="340" w:lineRule="exact"/>
        <w:rPr>
          <w:rFonts w:eastAsiaTheme="majorEastAsia"/>
          <w:bCs/>
          <w:sz w:val="22"/>
          <w:szCs w:val="22"/>
        </w:rPr>
      </w:pPr>
      <w:r w:rsidRPr="00A90E5F">
        <w:rPr>
          <w:rFonts w:eastAsiaTheme="majorEastAsia"/>
          <w:bCs/>
          <w:sz w:val="22"/>
          <w:szCs w:val="22"/>
        </w:rPr>
        <w:t xml:space="preserve">2.2.5.1. Indicators for Objective 1: </w:t>
      </w:r>
    </w:p>
    <w:p w14:paraId="6582BBB3" w14:textId="06B00E8C"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BB39D6">
        <w:rPr>
          <w:rFonts w:eastAsiaTheme="majorEastAsia"/>
          <w:bCs/>
          <w:sz w:val="22"/>
          <w:szCs w:val="22"/>
        </w:rPr>
        <w:t xml:space="preserve"> </w:t>
      </w:r>
      <w:r w:rsidR="00A30B8B" w:rsidRPr="00A90E5F">
        <w:rPr>
          <w:rFonts w:eastAsiaTheme="majorEastAsia"/>
          <w:bCs/>
          <w:sz w:val="22"/>
          <w:szCs w:val="22"/>
        </w:rPr>
        <w:t>General information: Age at diagnosis, menstrual status, comorbidities, family history of cancer, and reason for hospital admission.</w:t>
      </w:r>
    </w:p>
    <w:p w14:paraId="1AFB4C7E" w14:textId="6970DD5A" w:rsidR="00A30B8B" w:rsidRPr="00A90E5F" w:rsidRDefault="00BB39D6" w:rsidP="00A90E5F">
      <w:pPr>
        <w:tabs>
          <w:tab w:val="left" w:pos="284"/>
        </w:tabs>
        <w:spacing w:line="340" w:lineRule="exact"/>
        <w:rPr>
          <w:rFonts w:eastAsiaTheme="majorEastAsia"/>
          <w:bCs/>
          <w:sz w:val="22"/>
          <w:szCs w:val="22"/>
        </w:rPr>
      </w:pPr>
      <w:r>
        <w:rPr>
          <w:rFonts w:eastAsiaTheme="majorEastAsia"/>
          <w:bCs/>
          <w:sz w:val="22"/>
          <w:szCs w:val="22"/>
        </w:rPr>
        <w:t xml:space="preserve">- </w:t>
      </w:r>
      <w:r w:rsidR="00A30B8B" w:rsidRPr="00A90E5F">
        <w:rPr>
          <w:rFonts w:eastAsiaTheme="majorEastAsia"/>
          <w:bCs/>
          <w:sz w:val="22"/>
          <w:szCs w:val="22"/>
        </w:rPr>
        <w:t>Clinical features: Affected side, tumor location, size, consistency, mobility, skin/nipple involvement, and regional lymph node status.</w:t>
      </w:r>
    </w:p>
    <w:p w14:paraId="122EDDDF" w14:textId="42B7DCED"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lastRenderedPageBreak/>
        <w:t>-</w:t>
      </w:r>
      <w:r w:rsidR="00A30B8B" w:rsidRPr="00A90E5F">
        <w:rPr>
          <w:rFonts w:eastAsiaTheme="majorEastAsia"/>
          <w:bCs/>
          <w:sz w:val="22"/>
          <w:szCs w:val="22"/>
        </w:rPr>
        <w:t xml:space="preserve"> Imaging findings: Breast ultrasound, mammography, MRI, CT or PET/CT </w:t>
      </w:r>
      <w:r w:rsidRPr="00A90E5F">
        <w:rPr>
          <w:rFonts w:eastAsiaTheme="majorEastAsia"/>
          <w:bCs/>
          <w:sz w:val="22"/>
          <w:szCs w:val="22"/>
        </w:rPr>
        <w:t xml:space="preserve">were </w:t>
      </w:r>
      <w:r w:rsidR="00A30B8B" w:rsidRPr="00A90E5F">
        <w:rPr>
          <w:rFonts w:eastAsiaTheme="majorEastAsia"/>
          <w:bCs/>
          <w:sz w:val="22"/>
          <w:szCs w:val="22"/>
        </w:rPr>
        <w:t xml:space="preserve">used to assess tumor characteristics and determine </w:t>
      </w:r>
      <w:r w:rsidRPr="00A90E5F">
        <w:rPr>
          <w:rFonts w:eastAsiaTheme="majorEastAsia"/>
          <w:bCs/>
          <w:sz w:val="22"/>
          <w:szCs w:val="22"/>
        </w:rPr>
        <w:t xml:space="preserve">the </w:t>
      </w:r>
      <w:r w:rsidR="00A30B8B" w:rsidRPr="00A90E5F">
        <w:rPr>
          <w:rFonts w:eastAsiaTheme="majorEastAsia"/>
          <w:bCs/>
          <w:sz w:val="22"/>
          <w:szCs w:val="22"/>
        </w:rPr>
        <w:t>clinical stage (cTNM) according to AJCC 2017.</w:t>
      </w:r>
    </w:p>
    <w:p w14:paraId="16547791" w14:textId="2C4FBB32" w:rsidR="00A30B8B" w:rsidRPr="00A90E5F" w:rsidRDefault="00BB39D6" w:rsidP="00A90E5F">
      <w:pPr>
        <w:tabs>
          <w:tab w:val="left" w:pos="284"/>
        </w:tabs>
        <w:spacing w:line="340" w:lineRule="exact"/>
        <w:rPr>
          <w:rFonts w:eastAsiaTheme="majorEastAsia"/>
          <w:bCs/>
          <w:sz w:val="22"/>
          <w:szCs w:val="22"/>
        </w:rPr>
      </w:pPr>
      <w:r>
        <w:rPr>
          <w:rFonts w:eastAsiaTheme="majorEastAsia"/>
          <w:bCs/>
          <w:sz w:val="22"/>
          <w:szCs w:val="22"/>
        </w:rPr>
        <w:t xml:space="preserve"> - </w:t>
      </w:r>
      <w:r w:rsidR="00A30B8B" w:rsidRPr="00A90E5F">
        <w:rPr>
          <w:rFonts w:eastAsiaTheme="majorEastAsia"/>
          <w:bCs/>
          <w:sz w:val="22"/>
          <w:szCs w:val="22"/>
        </w:rPr>
        <w:t>Histopathology and molecular subtypes: Histological type, tumor grade, immunohistochemistry (ER, PR, HER2, Ki</w:t>
      </w:r>
      <w:r w:rsidR="00903F5B" w:rsidRPr="00A90E5F">
        <w:rPr>
          <w:rFonts w:eastAsiaTheme="majorEastAsia"/>
          <w:bCs/>
          <w:sz w:val="22"/>
          <w:szCs w:val="22"/>
        </w:rPr>
        <w:t>-</w:t>
      </w:r>
      <w:r w:rsidR="00A30B8B" w:rsidRPr="00A90E5F">
        <w:rPr>
          <w:rFonts w:eastAsiaTheme="majorEastAsia"/>
          <w:bCs/>
          <w:sz w:val="22"/>
          <w:szCs w:val="22"/>
        </w:rPr>
        <w:t>67); molecular classification according to St. Gallen 2015 (Luminal A, Luminal B, HER2+, triple</w:t>
      </w:r>
      <w:r w:rsidR="00903F5B" w:rsidRPr="00A90E5F">
        <w:rPr>
          <w:rFonts w:eastAsiaTheme="majorEastAsia"/>
          <w:bCs/>
          <w:sz w:val="22"/>
          <w:szCs w:val="22"/>
        </w:rPr>
        <w:t>-</w:t>
      </w:r>
      <w:r w:rsidR="00A30B8B" w:rsidRPr="00A90E5F">
        <w:rPr>
          <w:rFonts w:eastAsiaTheme="majorEastAsia"/>
          <w:bCs/>
          <w:sz w:val="22"/>
          <w:szCs w:val="22"/>
        </w:rPr>
        <w:t>negative breast cancer).</w:t>
      </w:r>
    </w:p>
    <w:p w14:paraId="434B29DA" w14:textId="7F677E19" w:rsidR="00A30B8B" w:rsidRPr="00A90E5F" w:rsidRDefault="00A30B8B" w:rsidP="00A90E5F">
      <w:pPr>
        <w:tabs>
          <w:tab w:val="left" w:pos="284"/>
        </w:tabs>
        <w:spacing w:line="340" w:lineRule="exact"/>
        <w:rPr>
          <w:rFonts w:eastAsiaTheme="majorEastAsia"/>
          <w:bCs/>
          <w:sz w:val="22"/>
          <w:szCs w:val="22"/>
        </w:rPr>
      </w:pPr>
      <w:r w:rsidRPr="00A90E5F">
        <w:rPr>
          <w:rFonts w:eastAsiaTheme="majorEastAsia"/>
          <w:bCs/>
          <w:sz w:val="22"/>
          <w:szCs w:val="22"/>
        </w:rPr>
        <w:t>2.2.5.2. Indicators for Objective 2:</w:t>
      </w:r>
    </w:p>
    <w:p w14:paraId="28249B5B" w14:textId="699A646A"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BB39D6">
        <w:rPr>
          <w:rFonts w:eastAsiaTheme="majorEastAsia"/>
          <w:bCs/>
          <w:sz w:val="22"/>
          <w:szCs w:val="22"/>
        </w:rPr>
        <w:t xml:space="preserve"> </w:t>
      </w:r>
      <w:r w:rsidR="00A30B8B" w:rsidRPr="00A90E5F">
        <w:rPr>
          <w:rFonts w:eastAsiaTheme="majorEastAsia"/>
          <w:bCs/>
          <w:sz w:val="22"/>
          <w:szCs w:val="22"/>
        </w:rPr>
        <w:t>Neoadjuvant chemotherapy (NACT): Regimen used, number of cycles, dose density (standard vs. dose</w:t>
      </w:r>
      <w:r w:rsidRPr="00A90E5F">
        <w:rPr>
          <w:rFonts w:eastAsiaTheme="majorEastAsia"/>
          <w:bCs/>
          <w:sz w:val="22"/>
          <w:szCs w:val="22"/>
        </w:rPr>
        <w:t>-</w:t>
      </w:r>
      <w:r w:rsidR="00A30B8B" w:rsidRPr="00A90E5F">
        <w:rPr>
          <w:rFonts w:eastAsiaTheme="majorEastAsia"/>
          <w:bCs/>
          <w:sz w:val="22"/>
          <w:szCs w:val="22"/>
        </w:rPr>
        <w:t>dense).</w:t>
      </w:r>
    </w:p>
    <w:p w14:paraId="0ED0F15B" w14:textId="630B2014"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Treatment adherence: Classified based on completion of the intended regimen.</w:t>
      </w:r>
    </w:p>
    <w:p w14:paraId="104B469E" w14:textId="36729160"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BB39D6">
        <w:rPr>
          <w:rFonts w:eastAsiaTheme="majorEastAsia"/>
          <w:bCs/>
          <w:sz w:val="22"/>
          <w:szCs w:val="22"/>
        </w:rPr>
        <w:t xml:space="preserve"> </w:t>
      </w:r>
      <w:r w:rsidR="00A30B8B" w:rsidRPr="00A90E5F">
        <w:rPr>
          <w:rFonts w:eastAsiaTheme="majorEastAsia"/>
          <w:bCs/>
          <w:sz w:val="22"/>
          <w:szCs w:val="22"/>
        </w:rPr>
        <w:t>NACT</w:t>
      </w:r>
      <w:r w:rsidRPr="00A90E5F">
        <w:rPr>
          <w:rFonts w:eastAsiaTheme="majorEastAsia"/>
          <w:bCs/>
          <w:sz w:val="22"/>
          <w:szCs w:val="22"/>
        </w:rPr>
        <w:t>-</w:t>
      </w:r>
      <w:r w:rsidR="00A30B8B" w:rsidRPr="00A90E5F">
        <w:rPr>
          <w:rFonts w:eastAsiaTheme="majorEastAsia"/>
          <w:bCs/>
          <w:sz w:val="22"/>
          <w:szCs w:val="22"/>
        </w:rPr>
        <w:t>related toxicities: Documented per CTCAE v5.0 (hematologic, neurologic, cardiovascular, gastrointestinal, etc.).</w:t>
      </w:r>
    </w:p>
    <w:p w14:paraId="3A1CE1DF" w14:textId="29BFF4CB"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w:t>
      </w:r>
      <w:r w:rsidR="00BB39D6">
        <w:rPr>
          <w:rFonts w:eastAsiaTheme="majorEastAsia"/>
          <w:bCs/>
          <w:sz w:val="22"/>
          <w:szCs w:val="22"/>
        </w:rPr>
        <w:t xml:space="preserve"> </w:t>
      </w:r>
      <w:r w:rsidR="00A30B8B" w:rsidRPr="00A90E5F">
        <w:rPr>
          <w:rFonts w:eastAsiaTheme="majorEastAsia"/>
          <w:bCs/>
          <w:sz w:val="22"/>
          <w:szCs w:val="22"/>
        </w:rPr>
        <w:t>Treatment response: Clinical response: Evaluated using RECIST 1.1 (CR, PR, SD, PD). Pathological response: Evaluated postoperatively using the Chevallier classification; pCR defined as ypT0/isN0.</w:t>
      </w:r>
    </w:p>
    <w:p w14:paraId="2997F577" w14:textId="29E8A561" w:rsidR="00A30B8B" w:rsidRPr="00A90E5F" w:rsidRDefault="00BB39D6" w:rsidP="00A90E5F">
      <w:pPr>
        <w:tabs>
          <w:tab w:val="left" w:pos="284"/>
        </w:tabs>
        <w:spacing w:line="340" w:lineRule="exact"/>
        <w:rPr>
          <w:rFonts w:eastAsiaTheme="majorEastAsia"/>
          <w:bCs/>
          <w:sz w:val="22"/>
          <w:szCs w:val="22"/>
        </w:rPr>
      </w:pPr>
      <w:r>
        <w:rPr>
          <w:rFonts w:eastAsiaTheme="majorEastAsia"/>
          <w:bCs/>
          <w:sz w:val="22"/>
          <w:szCs w:val="22"/>
        </w:rPr>
        <w:t xml:space="preserve">- </w:t>
      </w:r>
      <w:r w:rsidR="00A30B8B" w:rsidRPr="00A90E5F">
        <w:rPr>
          <w:rFonts w:eastAsiaTheme="majorEastAsia"/>
          <w:bCs/>
          <w:sz w:val="22"/>
          <w:szCs w:val="22"/>
        </w:rPr>
        <w:t>Surgical technique and outcomes: Operative time, incision type, axillary dissection, nerve preservation, postoperative tumor size, number of positive lymph nodes.</w:t>
      </w:r>
    </w:p>
    <w:p w14:paraId="25655F77" w14:textId="6162B854"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Postoperative complications: Classified according to Clavien</w:t>
      </w:r>
      <w:r w:rsidRPr="00A90E5F">
        <w:rPr>
          <w:rFonts w:eastAsiaTheme="majorEastAsia"/>
          <w:bCs/>
          <w:sz w:val="22"/>
          <w:szCs w:val="22"/>
        </w:rPr>
        <w:t>-</w:t>
      </w:r>
      <w:r w:rsidR="00A30B8B" w:rsidRPr="00A90E5F">
        <w:rPr>
          <w:rFonts w:eastAsiaTheme="majorEastAsia"/>
          <w:bCs/>
          <w:sz w:val="22"/>
          <w:szCs w:val="22"/>
        </w:rPr>
        <w:t>Dindo (Grade I</w:t>
      </w:r>
      <w:r w:rsidRPr="00A90E5F">
        <w:rPr>
          <w:rFonts w:eastAsiaTheme="majorEastAsia"/>
          <w:bCs/>
          <w:sz w:val="22"/>
          <w:szCs w:val="22"/>
        </w:rPr>
        <w:t>-</w:t>
      </w:r>
      <w:r w:rsidR="00A30B8B" w:rsidRPr="00A90E5F">
        <w:rPr>
          <w:rFonts w:eastAsiaTheme="majorEastAsia"/>
          <w:bCs/>
          <w:sz w:val="22"/>
          <w:szCs w:val="22"/>
        </w:rPr>
        <w:t>V).</w:t>
      </w:r>
    </w:p>
    <w:p w14:paraId="00706894" w14:textId="23C4B05F"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Survival outcomes: Event</w:t>
      </w:r>
      <w:r w:rsidRPr="00A90E5F">
        <w:rPr>
          <w:rFonts w:eastAsiaTheme="majorEastAsia"/>
          <w:bCs/>
          <w:sz w:val="22"/>
          <w:szCs w:val="22"/>
        </w:rPr>
        <w:t>-</w:t>
      </w:r>
      <w:r w:rsidR="00A30B8B" w:rsidRPr="00A90E5F">
        <w:rPr>
          <w:rFonts w:eastAsiaTheme="majorEastAsia"/>
          <w:bCs/>
          <w:sz w:val="22"/>
          <w:szCs w:val="22"/>
        </w:rPr>
        <w:t>Free Survival (EFS): From treatment initiation to local recurrence, distant metastasis, or cancer</w:t>
      </w:r>
      <w:r w:rsidRPr="00A90E5F">
        <w:rPr>
          <w:rFonts w:eastAsiaTheme="majorEastAsia"/>
          <w:bCs/>
          <w:sz w:val="22"/>
          <w:szCs w:val="22"/>
        </w:rPr>
        <w:t>-</w:t>
      </w:r>
      <w:r w:rsidR="00A30B8B" w:rsidRPr="00A90E5F">
        <w:rPr>
          <w:rFonts w:eastAsiaTheme="majorEastAsia"/>
          <w:bCs/>
          <w:sz w:val="22"/>
          <w:szCs w:val="22"/>
        </w:rPr>
        <w:t>related death. Overall Survival (OS): From treatment initiation to death from any cause (follow</w:t>
      </w:r>
      <w:r w:rsidRPr="00A90E5F">
        <w:rPr>
          <w:rFonts w:eastAsiaTheme="majorEastAsia"/>
          <w:bCs/>
          <w:sz w:val="22"/>
          <w:szCs w:val="22"/>
        </w:rPr>
        <w:t>-</w:t>
      </w:r>
      <w:r w:rsidR="00A30B8B" w:rsidRPr="00A90E5F">
        <w:rPr>
          <w:rFonts w:eastAsiaTheme="majorEastAsia"/>
          <w:bCs/>
          <w:sz w:val="22"/>
          <w:szCs w:val="22"/>
        </w:rPr>
        <w:t>up until June 30, 2024).</w:t>
      </w:r>
    </w:p>
    <w:p w14:paraId="73689755" w14:textId="69303F0D" w:rsidR="00A30B8B" w:rsidRPr="00A90E5F" w:rsidRDefault="00A30B8B" w:rsidP="00A90E5F">
      <w:pPr>
        <w:tabs>
          <w:tab w:val="left" w:pos="284"/>
        </w:tabs>
        <w:spacing w:line="340" w:lineRule="exact"/>
        <w:rPr>
          <w:rFonts w:eastAsiaTheme="majorEastAsia"/>
          <w:b/>
          <w:i/>
          <w:iCs/>
          <w:sz w:val="22"/>
          <w:szCs w:val="22"/>
        </w:rPr>
      </w:pPr>
      <w:r w:rsidRPr="00A90E5F">
        <w:rPr>
          <w:rFonts w:eastAsiaTheme="majorEastAsia"/>
          <w:b/>
          <w:i/>
          <w:iCs/>
          <w:sz w:val="22"/>
          <w:szCs w:val="22"/>
        </w:rPr>
        <w:lastRenderedPageBreak/>
        <w:t>2.2.</w:t>
      </w:r>
      <w:r w:rsidR="00893E23">
        <w:rPr>
          <w:rFonts w:eastAsiaTheme="majorEastAsia"/>
          <w:b/>
          <w:i/>
          <w:iCs/>
          <w:sz w:val="22"/>
          <w:szCs w:val="22"/>
        </w:rPr>
        <w:t>7</w:t>
      </w:r>
      <w:r w:rsidRPr="00A90E5F">
        <w:rPr>
          <w:rFonts w:eastAsiaTheme="majorEastAsia"/>
          <w:b/>
          <w:i/>
          <w:iCs/>
          <w:sz w:val="22"/>
          <w:szCs w:val="22"/>
        </w:rPr>
        <w:t xml:space="preserve">. </w:t>
      </w:r>
      <w:r w:rsidR="00FB0C01" w:rsidRPr="00A90E5F">
        <w:rPr>
          <w:rFonts w:eastAsiaTheme="majorEastAsia"/>
          <w:b/>
          <w:i/>
          <w:iCs/>
          <w:sz w:val="22"/>
          <w:szCs w:val="22"/>
        </w:rPr>
        <w:t>Criteria, Terminology, and Methods of Outcome Assessment</w:t>
      </w:r>
    </w:p>
    <w:p w14:paraId="3A366FEF" w14:textId="100750BF"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Clinical response (RECIST 1.1, 2009): CR: Disappearance of all target lesions. PR: ≥30% decrease in the sum of diameters. SD: No sufficient decrease or increase. PD: ≥20% increase or new lesions. Evaluated via clinical exam, ultrasound, mammography, or MRI.</w:t>
      </w:r>
    </w:p>
    <w:p w14:paraId="0DC4E971" w14:textId="205910E7"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Pathologic response (Chevallier, 1993): Grade 1: pCR </w:t>
      </w:r>
      <w:r w:rsidRPr="00A90E5F">
        <w:rPr>
          <w:rFonts w:eastAsiaTheme="majorEastAsia"/>
          <w:bCs/>
          <w:sz w:val="22"/>
          <w:szCs w:val="22"/>
        </w:rPr>
        <w:t>-</w:t>
      </w:r>
      <w:r w:rsidR="00A30B8B" w:rsidRPr="00A90E5F">
        <w:rPr>
          <w:rFonts w:eastAsiaTheme="majorEastAsia"/>
          <w:bCs/>
          <w:sz w:val="22"/>
          <w:szCs w:val="22"/>
        </w:rPr>
        <w:t xml:space="preserve"> no residual invasive or in situ tumor. Grades 2</w:t>
      </w:r>
      <w:r w:rsidRPr="00A90E5F">
        <w:rPr>
          <w:rFonts w:eastAsiaTheme="majorEastAsia"/>
          <w:bCs/>
          <w:sz w:val="22"/>
          <w:szCs w:val="22"/>
        </w:rPr>
        <w:t>-</w:t>
      </w:r>
      <w:r w:rsidR="00A30B8B" w:rsidRPr="00A90E5F">
        <w:rPr>
          <w:rFonts w:eastAsiaTheme="majorEastAsia"/>
          <w:bCs/>
          <w:sz w:val="22"/>
          <w:szCs w:val="22"/>
        </w:rPr>
        <w:t xml:space="preserve">4: Ranging from in situ only to no change in pathology. </w:t>
      </w:r>
    </w:p>
    <w:p w14:paraId="38026DE1" w14:textId="22A35733"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Chemotherapy</w:t>
      </w:r>
      <w:r w:rsidRPr="00A90E5F">
        <w:rPr>
          <w:rFonts w:eastAsiaTheme="majorEastAsia"/>
          <w:bCs/>
          <w:sz w:val="22"/>
          <w:szCs w:val="22"/>
        </w:rPr>
        <w:t>-</w:t>
      </w:r>
      <w:r w:rsidR="00A30B8B" w:rsidRPr="00A90E5F">
        <w:rPr>
          <w:rFonts w:eastAsiaTheme="majorEastAsia"/>
          <w:bCs/>
          <w:sz w:val="22"/>
          <w:szCs w:val="22"/>
        </w:rPr>
        <w:t>related toxicity (CTCAE v5.0, 2017): Graded 1</w:t>
      </w:r>
      <w:r w:rsidRPr="00A90E5F">
        <w:rPr>
          <w:rFonts w:eastAsiaTheme="majorEastAsia"/>
          <w:bCs/>
          <w:sz w:val="22"/>
          <w:szCs w:val="22"/>
        </w:rPr>
        <w:t>-</w:t>
      </w:r>
      <w:r w:rsidR="00A30B8B" w:rsidRPr="00A90E5F">
        <w:rPr>
          <w:rFonts w:eastAsiaTheme="majorEastAsia"/>
          <w:bCs/>
          <w:sz w:val="22"/>
          <w:szCs w:val="22"/>
        </w:rPr>
        <w:t xml:space="preserve">5 (mild to death). Adverse events recorded across systems: hematologic, gastrointestinal, neurologic, cardiovascular, etc. Cardiotoxicity </w:t>
      </w:r>
      <w:r w:rsidRPr="00A90E5F">
        <w:rPr>
          <w:rFonts w:eastAsiaTheme="majorEastAsia"/>
          <w:bCs/>
          <w:sz w:val="22"/>
          <w:szCs w:val="22"/>
        </w:rPr>
        <w:t xml:space="preserve">is </w:t>
      </w:r>
      <w:r w:rsidR="00A30B8B" w:rsidRPr="00A90E5F">
        <w:rPr>
          <w:rFonts w:eastAsiaTheme="majorEastAsia"/>
          <w:bCs/>
          <w:sz w:val="22"/>
          <w:szCs w:val="22"/>
        </w:rPr>
        <w:t>monitored routinely with echocardiography and ECG in every cycle.</w:t>
      </w:r>
    </w:p>
    <w:p w14:paraId="660C8F4E" w14:textId="2BE70577"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Postoperative complications Clavien</w:t>
      </w:r>
      <w:r w:rsidRPr="00A90E5F">
        <w:rPr>
          <w:rFonts w:eastAsiaTheme="majorEastAsia"/>
          <w:bCs/>
          <w:sz w:val="22"/>
          <w:szCs w:val="22"/>
        </w:rPr>
        <w:t>–</w:t>
      </w:r>
      <w:r w:rsidR="00A30B8B" w:rsidRPr="00A90E5F">
        <w:rPr>
          <w:rFonts w:eastAsiaTheme="majorEastAsia"/>
          <w:bCs/>
          <w:sz w:val="22"/>
          <w:szCs w:val="22"/>
        </w:rPr>
        <w:t>Dindo, 2004): Graded I to V (minor deviation to death). Standardized classification applied to breast surgery (including MRM).</w:t>
      </w:r>
    </w:p>
    <w:p w14:paraId="560AEB6A" w14:textId="659DE3B0"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TNM Staging (AJCC 2017): T1</w:t>
      </w:r>
      <w:r w:rsidRPr="00A90E5F">
        <w:rPr>
          <w:rFonts w:eastAsiaTheme="majorEastAsia"/>
          <w:bCs/>
          <w:sz w:val="22"/>
          <w:szCs w:val="22"/>
        </w:rPr>
        <w:t>-</w:t>
      </w:r>
      <w:r w:rsidR="00A30B8B" w:rsidRPr="00A90E5F">
        <w:rPr>
          <w:rFonts w:eastAsiaTheme="majorEastAsia"/>
          <w:bCs/>
          <w:sz w:val="22"/>
          <w:szCs w:val="22"/>
        </w:rPr>
        <w:t>T4: Tumor size. N0</w:t>
      </w:r>
      <w:r w:rsidRPr="00A90E5F">
        <w:rPr>
          <w:rFonts w:eastAsiaTheme="majorEastAsia"/>
          <w:bCs/>
          <w:sz w:val="22"/>
          <w:szCs w:val="22"/>
        </w:rPr>
        <w:t>-</w:t>
      </w:r>
      <w:r w:rsidR="00A30B8B" w:rsidRPr="00A90E5F">
        <w:rPr>
          <w:rFonts w:eastAsiaTheme="majorEastAsia"/>
          <w:bCs/>
          <w:sz w:val="22"/>
          <w:szCs w:val="22"/>
        </w:rPr>
        <w:t>N3: Nodal involvement. M0</w:t>
      </w:r>
      <w:r w:rsidRPr="00A90E5F">
        <w:rPr>
          <w:rFonts w:eastAsiaTheme="majorEastAsia"/>
          <w:bCs/>
          <w:sz w:val="22"/>
          <w:szCs w:val="22"/>
        </w:rPr>
        <w:t>-</w:t>
      </w:r>
      <w:r w:rsidR="00A30B8B" w:rsidRPr="00A90E5F">
        <w:rPr>
          <w:rFonts w:eastAsiaTheme="majorEastAsia"/>
          <w:bCs/>
          <w:sz w:val="22"/>
          <w:szCs w:val="22"/>
        </w:rPr>
        <w:t>M1: Distant metastasis. Stage III includes combinations of T3</w:t>
      </w:r>
      <w:r w:rsidRPr="00A90E5F">
        <w:rPr>
          <w:rFonts w:eastAsiaTheme="majorEastAsia"/>
          <w:bCs/>
          <w:sz w:val="22"/>
          <w:szCs w:val="22"/>
        </w:rPr>
        <w:t>-</w:t>
      </w:r>
      <w:r w:rsidR="00A30B8B" w:rsidRPr="00A90E5F">
        <w:rPr>
          <w:rFonts w:eastAsiaTheme="majorEastAsia"/>
          <w:bCs/>
          <w:sz w:val="22"/>
          <w:szCs w:val="22"/>
        </w:rPr>
        <w:t>T4, N1</w:t>
      </w:r>
      <w:r w:rsidRPr="00A90E5F">
        <w:rPr>
          <w:rFonts w:eastAsiaTheme="majorEastAsia"/>
          <w:bCs/>
          <w:sz w:val="22"/>
          <w:szCs w:val="22"/>
        </w:rPr>
        <w:t>-</w:t>
      </w:r>
      <w:r w:rsidR="00A30B8B" w:rsidRPr="00A90E5F">
        <w:rPr>
          <w:rFonts w:eastAsiaTheme="majorEastAsia"/>
          <w:bCs/>
          <w:sz w:val="22"/>
          <w:szCs w:val="22"/>
        </w:rPr>
        <w:t xml:space="preserve">N3, </w:t>
      </w:r>
      <w:r w:rsidRPr="00A90E5F">
        <w:rPr>
          <w:rFonts w:eastAsiaTheme="majorEastAsia"/>
          <w:bCs/>
          <w:sz w:val="22"/>
          <w:szCs w:val="22"/>
        </w:rPr>
        <w:t xml:space="preserve">and </w:t>
      </w:r>
      <w:r w:rsidR="00A30B8B" w:rsidRPr="00A90E5F">
        <w:rPr>
          <w:rFonts w:eastAsiaTheme="majorEastAsia"/>
          <w:bCs/>
          <w:sz w:val="22"/>
          <w:szCs w:val="22"/>
        </w:rPr>
        <w:t>M0.</w:t>
      </w:r>
    </w:p>
    <w:p w14:paraId="4EF188EF" w14:textId="10DE817C"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Survival assessment: EFS: Time from treatment to disease recurrence, metastasis, or cancer</w:t>
      </w:r>
      <w:r w:rsidRPr="00A90E5F">
        <w:rPr>
          <w:rFonts w:eastAsiaTheme="majorEastAsia"/>
          <w:bCs/>
          <w:sz w:val="22"/>
          <w:szCs w:val="22"/>
        </w:rPr>
        <w:t>-</w:t>
      </w:r>
      <w:r w:rsidR="00A30B8B" w:rsidRPr="00A90E5F">
        <w:rPr>
          <w:rFonts w:eastAsiaTheme="majorEastAsia"/>
          <w:bCs/>
          <w:sz w:val="22"/>
          <w:szCs w:val="22"/>
        </w:rPr>
        <w:t>related death. OS: Time from treatment to death from any cause. Analyzed using Kaplan</w:t>
      </w:r>
      <w:r w:rsidRPr="00A90E5F">
        <w:rPr>
          <w:rFonts w:eastAsiaTheme="majorEastAsia"/>
          <w:bCs/>
          <w:sz w:val="22"/>
          <w:szCs w:val="22"/>
        </w:rPr>
        <w:t>-</w:t>
      </w:r>
      <w:r w:rsidR="00A30B8B" w:rsidRPr="00A90E5F">
        <w:rPr>
          <w:rFonts w:eastAsiaTheme="majorEastAsia"/>
          <w:bCs/>
          <w:sz w:val="22"/>
          <w:szCs w:val="22"/>
        </w:rPr>
        <w:t>Meier survival curves, log</w:t>
      </w:r>
      <w:r w:rsidRPr="00A90E5F">
        <w:rPr>
          <w:rFonts w:eastAsiaTheme="majorEastAsia"/>
          <w:bCs/>
          <w:sz w:val="22"/>
          <w:szCs w:val="22"/>
        </w:rPr>
        <w:t>-</w:t>
      </w:r>
      <w:r w:rsidR="00A30B8B" w:rsidRPr="00A90E5F">
        <w:rPr>
          <w:rFonts w:eastAsiaTheme="majorEastAsia"/>
          <w:bCs/>
          <w:sz w:val="22"/>
          <w:szCs w:val="22"/>
        </w:rPr>
        <w:t>rank test, and Cox proportional hazards model.</w:t>
      </w:r>
    </w:p>
    <w:p w14:paraId="702580E5" w14:textId="7EDF78E1" w:rsidR="00A30B8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Follow</w:t>
      </w:r>
      <w:r w:rsidRPr="00A90E5F">
        <w:rPr>
          <w:rFonts w:eastAsiaTheme="majorEastAsia"/>
          <w:bCs/>
          <w:sz w:val="22"/>
          <w:szCs w:val="22"/>
        </w:rPr>
        <w:t>-</w:t>
      </w:r>
      <w:r w:rsidR="00A30B8B" w:rsidRPr="00A90E5F">
        <w:rPr>
          <w:rFonts w:eastAsiaTheme="majorEastAsia"/>
          <w:bCs/>
          <w:sz w:val="22"/>
          <w:szCs w:val="22"/>
        </w:rPr>
        <w:t xml:space="preserve">up protocol: Purpose: To detect recurrence, </w:t>
      </w:r>
      <w:r w:rsidRPr="00A90E5F">
        <w:rPr>
          <w:rFonts w:eastAsiaTheme="majorEastAsia"/>
          <w:bCs/>
          <w:sz w:val="22"/>
          <w:szCs w:val="22"/>
        </w:rPr>
        <w:t xml:space="preserve">and </w:t>
      </w:r>
      <w:r w:rsidR="00A30B8B" w:rsidRPr="00A90E5F">
        <w:rPr>
          <w:rFonts w:eastAsiaTheme="majorEastAsia"/>
          <w:bCs/>
          <w:sz w:val="22"/>
          <w:szCs w:val="22"/>
        </w:rPr>
        <w:t>late complications, and plan adjuvant therapy. Schedule: Every 3</w:t>
      </w:r>
      <w:r w:rsidRPr="00A90E5F">
        <w:rPr>
          <w:rFonts w:eastAsiaTheme="majorEastAsia"/>
          <w:bCs/>
          <w:sz w:val="22"/>
          <w:szCs w:val="22"/>
        </w:rPr>
        <w:t>-</w:t>
      </w:r>
      <w:r w:rsidR="00A30B8B" w:rsidRPr="00A90E5F">
        <w:rPr>
          <w:rFonts w:eastAsiaTheme="majorEastAsia"/>
          <w:bCs/>
          <w:sz w:val="22"/>
          <w:szCs w:val="22"/>
        </w:rPr>
        <w:t>6 months in the first 2 years, then every 6</w:t>
      </w:r>
      <w:r w:rsidRPr="00A90E5F">
        <w:rPr>
          <w:rFonts w:eastAsiaTheme="majorEastAsia"/>
          <w:bCs/>
          <w:sz w:val="22"/>
          <w:szCs w:val="22"/>
        </w:rPr>
        <w:t>-</w:t>
      </w:r>
      <w:r w:rsidR="00A30B8B" w:rsidRPr="00A90E5F">
        <w:rPr>
          <w:rFonts w:eastAsiaTheme="majorEastAsia"/>
          <w:bCs/>
          <w:sz w:val="22"/>
          <w:szCs w:val="22"/>
        </w:rPr>
        <w:t xml:space="preserve">12 months. Contents: Clinical exams, lab tests, imaging, biopsy if recurrence </w:t>
      </w:r>
      <w:r w:rsidRPr="00A90E5F">
        <w:rPr>
          <w:rFonts w:eastAsiaTheme="majorEastAsia"/>
          <w:bCs/>
          <w:sz w:val="22"/>
          <w:szCs w:val="22"/>
        </w:rPr>
        <w:t xml:space="preserve">was </w:t>
      </w:r>
      <w:r w:rsidR="00A30B8B" w:rsidRPr="00A90E5F">
        <w:rPr>
          <w:rFonts w:eastAsiaTheme="majorEastAsia"/>
          <w:bCs/>
          <w:sz w:val="22"/>
          <w:szCs w:val="22"/>
        </w:rPr>
        <w:t>suspected.</w:t>
      </w:r>
    </w:p>
    <w:p w14:paraId="214AB977" w14:textId="58A9A8C1" w:rsidR="00A30B8B" w:rsidRPr="00A90E5F" w:rsidRDefault="00A30B8B" w:rsidP="00A90E5F">
      <w:pPr>
        <w:tabs>
          <w:tab w:val="left" w:pos="284"/>
        </w:tabs>
        <w:spacing w:line="340" w:lineRule="exact"/>
        <w:rPr>
          <w:rFonts w:eastAsiaTheme="majorEastAsia"/>
          <w:b/>
          <w:i/>
          <w:iCs/>
          <w:sz w:val="22"/>
          <w:szCs w:val="22"/>
        </w:rPr>
      </w:pPr>
      <w:r w:rsidRPr="00A90E5F">
        <w:rPr>
          <w:rFonts w:eastAsiaTheme="majorEastAsia"/>
          <w:b/>
          <w:i/>
          <w:iCs/>
          <w:sz w:val="22"/>
          <w:szCs w:val="22"/>
        </w:rPr>
        <w:lastRenderedPageBreak/>
        <w:t xml:space="preserve">2.2.8. Data Collection and Statistical </w:t>
      </w:r>
      <w:r w:rsidR="00FB0C01" w:rsidRPr="00A90E5F">
        <w:rPr>
          <w:rFonts w:eastAsiaTheme="majorEastAsia"/>
          <w:b/>
          <w:i/>
          <w:iCs/>
          <w:sz w:val="22"/>
          <w:szCs w:val="22"/>
        </w:rPr>
        <w:t xml:space="preserve">Analysis: </w:t>
      </w:r>
      <w:r w:rsidRPr="00A90E5F">
        <w:rPr>
          <w:rFonts w:eastAsiaTheme="majorEastAsia"/>
          <w:bCs/>
          <w:sz w:val="22"/>
          <w:szCs w:val="22"/>
        </w:rPr>
        <w:t>Data were analyzed using SPSS version 26.0. Descriptive and inferential analysis: Independent samples t</w:t>
      </w:r>
      <w:r w:rsidR="00903F5B" w:rsidRPr="00A90E5F">
        <w:rPr>
          <w:rFonts w:eastAsiaTheme="majorEastAsia"/>
          <w:bCs/>
          <w:sz w:val="22"/>
          <w:szCs w:val="22"/>
        </w:rPr>
        <w:t>-</w:t>
      </w:r>
      <w:r w:rsidRPr="00A90E5F">
        <w:rPr>
          <w:rFonts w:eastAsiaTheme="majorEastAsia"/>
          <w:bCs/>
          <w:sz w:val="22"/>
          <w:szCs w:val="22"/>
        </w:rPr>
        <w:t>test and ANOVA.</w:t>
      </w:r>
      <w:r w:rsidR="00FB0C01" w:rsidRPr="00A90E5F">
        <w:rPr>
          <w:rFonts w:eastAsiaTheme="majorEastAsia"/>
          <w:bCs/>
          <w:sz w:val="22"/>
          <w:szCs w:val="22"/>
        </w:rPr>
        <w:t xml:space="preserve"> </w:t>
      </w:r>
      <w:r w:rsidRPr="00A90E5F">
        <w:rPr>
          <w:rFonts w:eastAsiaTheme="majorEastAsia"/>
          <w:bCs/>
          <w:sz w:val="22"/>
          <w:szCs w:val="22"/>
        </w:rPr>
        <w:t>Survival analysis: Kaplan</w:t>
      </w:r>
      <w:r w:rsidR="00903F5B" w:rsidRPr="00A90E5F">
        <w:rPr>
          <w:rFonts w:eastAsiaTheme="majorEastAsia"/>
          <w:bCs/>
          <w:sz w:val="22"/>
          <w:szCs w:val="22"/>
        </w:rPr>
        <w:t>-</w:t>
      </w:r>
      <w:r w:rsidRPr="00A90E5F">
        <w:rPr>
          <w:rFonts w:eastAsiaTheme="majorEastAsia"/>
          <w:bCs/>
          <w:sz w:val="22"/>
          <w:szCs w:val="22"/>
        </w:rPr>
        <w:t>Meier method, log</w:t>
      </w:r>
      <w:r w:rsidR="00903F5B" w:rsidRPr="00A90E5F">
        <w:rPr>
          <w:rFonts w:eastAsiaTheme="majorEastAsia"/>
          <w:bCs/>
          <w:sz w:val="22"/>
          <w:szCs w:val="22"/>
        </w:rPr>
        <w:t>-</w:t>
      </w:r>
      <w:r w:rsidRPr="00A90E5F">
        <w:rPr>
          <w:rFonts w:eastAsiaTheme="majorEastAsia"/>
          <w:bCs/>
          <w:sz w:val="22"/>
          <w:szCs w:val="22"/>
        </w:rPr>
        <w:t>rank test for comparison, with significance level set at p &lt; 0.05.</w:t>
      </w:r>
    </w:p>
    <w:p w14:paraId="5D904CF8" w14:textId="78BB194B" w:rsidR="00502BD6" w:rsidRPr="00A90E5F" w:rsidRDefault="00A30B8B" w:rsidP="00A90E5F">
      <w:pPr>
        <w:tabs>
          <w:tab w:val="left" w:pos="284"/>
        </w:tabs>
        <w:spacing w:line="340" w:lineRule="exact"/>
        <w:rPr>
          <w:rFonts w:eastAsiaTheme="majorEastAsia"/>
          <w:b/>
          <w:i/>
          <w:iCs/>
          <w:sz w:val="22"/>
          <w:szCs w:val="22"/>
        </w:rPr>
      </w:pPr>
      <w:r w:rsidRPr="00A90E5F">
        <w:rPr>
          <w:rFonts w:eastAsiaTheme="majorEastAsia"/>
          <w:b/>
          <w:i/>
          <w:iCs/>
          <w:sz w:val="22"/>
          <w:szCs w:val="22"/>
        </w:rPr>
        <w:t>2.2.9. Ethical Cons</w:t>
      </w:r>
      <w:r w:rsidR="00FB0C01" w:rsidRPr="00A90E5F">
        <w:rPr>
          <w:rFonts w:eastAsiaTheme="majorEastAsia"/>
          <w:b/>
          <w:i/>
          <w:iCs/>
          <w:sz w:val="22"/>
          <w:szCs w:val="22"/>
        </w:rPr>
        <w:t xml:space="preserve">iderations: </w:t>
      </w:r>
      <w:r w:rsidRPr="00A90E5F">
        <w:rPr>
          <w:rFonts w:eastAsiaTheme="majorEastAsia"/>
          <w:bCs/>
          <w:sz w:val="22"/>
          <w:szCs w:val="22"/>
        </w:rPr>
        <w:t>The study was reviewed and approved by the Ethics Committee of the National Cancer Hospital under Decision No. 1951/BVK</w:t>
      </w:r>
      <w:r w:rsidR="00903F5B" w:rsidRPr="00A90E5F">
        <w:rPr>
          <w:rFonts w:eastAsiaTheme="majorEastAsia"/>
          <w:bCs/>
          <w:sz w:val="22"/>
          <w:szCs w:val="22"/>
        </w:rPr>
        <w:t>-</w:t>
      </w:r>
      <w:r w:rsidRPr="00A90E5F">
        <w:rPr>
          <w:rFonts w:eastAsiaTheme="majorEastAsia"/>
          <w:bCs/>
          <w:sz w:val="22"/>
          <w:szCs w:val="22"/>
        </w:rPr>
        <w:t>HĐĐĐ dated August 1, 2022.</w:t>
      </w:r>
    </w:p>
    <w:p w14:paraId="437CA966" w14:textId="676F2321" w:rsidR="00890A97" w:rsidRPr="00A90E5F" w:rsidRDefault="009D09FB" w:rsidP="00A90E5F">
      <w:pPr>
        <w:tabs>
          <w:tab w:val="left" w:pos="284"/>
        </w:tabs>
        <w:spacing w:line="340" w:lineRule="exact"/>
        <w:rPr>
          <w:b/>
          <w:bCs/>
          <w:sz w:val="22"/>
          <w:szCs w:val="22"/>
        </w:rPr>
      </w:pPr>
      <w:bookmarkStart w:id="12" w:name="_Toc198145748"/>
      <w:r w:rsidRPr="00A90E5F">
        <w:rPr>
          <w:rFonts w:eastAsiaTheme="majorEastAsia"/>
          <w:b/>
          <w:bCs/>
          <w:sz w:val="22"/>
          <w:szCs w:val="22"/>
        </w:rPr>
        <w:t xml:space="preserve">Chapter 3. </w:t>
      </w:r>
      <w:r w:rsidR="00890A97" w:rsidRPr="00A90E5F">
        <w:rPr>
          <w:b/>
          <w:bCs/>
          <w:sz w:val="22"/>
          <w:szCs w:val="22"/>
        </w:rPr>
        <w:t>RESEARCH RESULTS</w:t>
      </w:r>
      <w:bookmarkEnd w:id="12"/>
    </w:p>
    <w:p w14:paraId="541FB643" w14:textId="77777777" w:rsidR="009D09FB" w:rsidRPr="00A90E5F" w:rsidRDefault="009D09FB" w:rsidP="00A90E5F">
      <w:pPr>
        <w:tabs>
          <w:tab w:val="left" w:pos="284"/>
        </w:tabs>
        <w:spacing w:line="340" w:lineRule="exact"/>
        <w:rPr>
          <w:rFonts w:eastAsiaTheme="majorEastAsia"/>
          <w:b/>
          <w:sz w:val="22"/>
          <w:szCs w:val="22"/>
        </w:rPr>
      </w:pPr>
      <w:bookmarkStart w:id="13" w:name="_Toc174888728"/>
      <w:bookmarkStart w:id="14" w:name="_Toc180031813"/>
      <w:bookmarkStart w:id="15" w:name="_Toc180160641"/>
      <w:bookmarkStart w:id="16" w:name="_Toc180170297"/>
      <w:bookmarkStart w:id="17" w:name="_Toc180170421"/>
      <w:bookmarkStart w:id="18" w:name="_Toc180233257"/>
      <w:bookmarkStart w:id="19" w:name="_Toc180340103"/>
      <w:bookmarkStart w:id="20" w:name="_Toc181114698"/>
      <w:bookmarkStart w:id="21" w:name="_Toc181184670"/>
      <w:bookmarkStart w:id="22" w:name="_Toc185227055"/>
      <w:bookmarkStart w:id="23" w:name="_Toc185783166"/>
      <w:bookmarkStart w:id="24" w:name="_Toc186563441"/>
      <w:bookmarkStart w:id="25" w:name="_Toc186563483"/>
      <w:bookmarkStart w:id="26" w:name="_Toc186883963"/>
      <w:bookmarkStart w:id="27" w:name="_Toc190441777"/>
      <w:bookmarkStart w:id="28" w:name="_Toc194803488"/>
      <w:bookmarkStart w:id="29" w:name="_Toc198142173"/>
      <w:bookmarkStart w:id="30" w:name="_Toc198201119"/>
      <w:bookmarkStart w:id="31" w:name="_Hlk175097893"/>
      <w:r w:rsidRPr="00A90E5F">
        <w:rPr>
          <w:rFonts w:eastAsiaTheme="majorEastAsia"/>
          <w:b/>
          <w:sz w:val="22"/>
          <w:szCs w:val="22"/>
        </w:rPr>
        <w:t>3.1. Patient Characteristics</w:t>
      </w:r>
    </w:p>
    <w:p w14:paraId="6E749858" w14:textId="2FA68CD4" w:rsidR="009D09F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w:t>
      </w:r>
      <w:r w:rsidR="009D09FB" w:rsidRPr="00A90E5F">
        <w:rPr>
          <w:rFonts w:eastAsiaTheme="majorEastAsia"/>
          <w:bCs/>
          <w:sz w:val="22"/>
          <w:szCs w:val="22"/>
        </w:rPr>
        <w:t>The mean age of patients was 50.14 ± 11.6 years (range: 29</w:t>
      </w:r>
      <w:r w:rsidRPr="00A90E5F">
        <w:rPr>
          <w:rFonts w:eastAsiaTheme="majorEastAsia"/>
          <w:bCs/>
          <w:sz w:val="22"/>
          <w:szCs w:val="22"/>
        </w:rPr>
        <w:t>-</w:t>
      </w:r>
      <w:r w:rsidR="009D09FB" w:rsidRPr="00A90E5F">
        <w:rPr>
          <w:rFonts w:eastAsiaTheme="majorEastAsia"/>
          <w:bCs/>
          <w:sz w:val="22"/>
          <w:szCs w:val="22"/>
        </w:rPr>
        <w:t>80), with the most common age group being 40</w:t>
      </w:r>
      <w:r w:rsidRPr="00A90E5F">
        <w:rPr>
          <w:rFonts w:eastAsiaTheme="majorEastAsia"/>
          <w:bCs/>
          <w:sz w:val="22"/>
          <w:szCs w:val="22"/>
        </w:rPr>
        <w:t>-</w:t>
      </w:r>
      <w:r w:rsidR="009D09FB" w:rsidRPr="00A90E5F">
        <w:rPr>
          <w:rFonts w:eastAsiaTheme="majorEastAsia"/>
          <w:bCs/>
          <w:sz w:val="22"/>
          <w:szCs w:val="22"/>
        </w:rPr>
        <w:t>59 years (52.8%). The majority (87.6%) self</w:t>
      </w:r>
      <w:r w:rsidRPr="00A90E5F">
        <w:rPr>
          <w:rFonts w:eastAsiaTheme="majorEastAsia"/>
          <w:bCs/>
          <w:sz w:val="22"/>
          <w:szCs w:val="22"/>
        </w:rPr>
        <w:t>-</w:t>
      </w:r>
      <w:r w:rsidR="009D09FB" w:rsidRPr="00A90E5F">
        <w:rPr>
          <w:rFonts w:eastAsiaTheme="majorEastAsia"/>
          <w:bCs/>
          <w:sz w:val="22"/>
          <w:szCs w:val="22"/>
        </w:rPr>
        <w:t>detected their tumors, but 60% presented more than 3 months after detection. A total of 33.6% had comorbidities, and 89.2% had no family history of cancer.</w:t>
      </w:r>
    </w:p>
    <w:p w14:paraId="08330315" w14:textId="0D96E8C0" w:rsidR="009D09F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w:t>
      </w:r>
      <w:r w:rsidR="009D09FB" w:rsidRPr="00A90E5F">
        <w:rPr>
          <w:rFonts w:eastAsiaTheme="majorEastAsia"/>
          <w:bCs/>
          <w:sz w:val="22"/>
          <w:szCs w:val="22"/>
        </w:rPr>
        <w:t xml:space="preserve">Clinically, tumors were more commonly located in the left breast (52.4%), with the upper outer quadrant being the most frequent site (54.0%). Regional lymphadenopathy was present in 93.6%, predominantly in the axilla (82%), with a high rate of nodal adhesion (39.6%). </w:t>
      </w:r>
      <w:r w:rsidRPr="00A90E5F">
        <w:rPr>
          <w:rFonts w:eastAsiaTheme="majorEastAsia"/>
          <w:bCs/>
          <w:sz w:val="22"/>
          <w:szCs w:val="22"/>
        </w:rPr>
        <w:t>The a</w:t>
      </w:r>
      <w:r w:rsidR="009D09FB" w:rsidRPr="00A90E5F">
        <w:rPr>
          <w:rFonts w:eastAsiaTheme="majorEastAsia"/>
          <w:bCs/>
          <w:sz w:val="22"/>
          <w:szCs w:val="22"/>
        </w:rPr>
        <w:t>dvanced local disease was evident based on clinical signs and tumor mobility.</w:t>
      </w:r>
    </w:p>
    <w:p w14:paraId="21E81AFD" w14:textId="716BBA8E" w:rsidR="009D09F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t>-</w:t>
      </w:r>
      <w:r w:rsidR="00A30B8B" w:rsidRPr="00A90E5F">
        <w:rPr>
          <w:rFonts w:eastAsiaTheme="majorEastAsia"/>
          <w:bCs/>
          <w:sz w:val="22"/>
          <w:szCs w:val="22"/>
        </w:rPr>
        <w:t xml:space="preserve"> </w:t>
      </w:r>
      <w:r w:rsidR="009D09FB" w:rsidRPr="00A90E5F">
        <w:rPr>
          <w:rFonts w:eastAsiaTheme="majorEastAsia"/>
          <w:bCs/>
          <w:sz w:val="22"/>
          <w:szCs w:val="22"/>
        </w:rPr>
        <w:t>Imaging findings showed solitary tumors in 80.8% of patients. Tumor size between 2</w:t>
      </w:r>
      <w:r w:rsidRPr="00A90E5F">
        <w:rPr>
          <w:rFonts w:eastAsiaTheme="majorEastAsia"/>
          <w:bCs/>
          <w:sz w:val="22"/>
          <w:szCs w:val="22"/>
        </w:rPr>
        <w:t>-</w:t>
      </w:r>
      <w:r w:rsidR="009D09FB" w:rsidRPr="00A90E5F">
        <w:rPr>
          <w:rFonts w:eastAsiaTheme="majorEastAsia"/>
          <w:bCs/>
          <w:sz w:val="22"/>
          <w:szCs w:val="22"/>
        </w:rPr>
        <w:t xml:space="preserve">5 cm was </w:t>
      </w:r>
      <w:r w:rsidRPr="00A90E5F">
        <w:rPr>
          <w:rFonts w:eastAsiaTheme="majorEastAsia"/>
          <w:bCs/>
          <w:sz w:val="22"/>
          <w:szCs w:val="22"/>
        </w:rPr>
        <w:t xml:space="preserve">the </w:t>
      </w:r>
      <w:r w:rsidR="009D09FB" w:rsidRPr="00A90E5F">
        <w:rPr>
          <w:rFonts w:eastAsiaTheme="majorEastAsia"/>
          <w:bCs/>
          <w:sz w:val="22"/>
          <w:szCs w:val="22"/>
        </w:rPr>
        <w:t>most common (64.8%). Microcalcifications were seen in 70.4%, and skin or chest wall infiltration in 49.2%. BI</w:t>
      </w:r>
      <w:r w:rsidRPr="00A90E5F">
        <w:rPr>
          <w:rFonts w:eastAsiaTheme="majorEastAsia"/>
          <w:bCs/>
          <w:sz w:val="22"/>
          <w:szCs w:val="22"/>
        </w:rPr>
        <w:t>-</w:t>
      </w:r>
      <w:r w:rsidR="009D09FB" w:rsidRPr="00A90E5F">
        <w:rPr>
          <w:rFonts w:eastAsiaTheme="majorEastAsia"/>
          <w:bCs/>
          <w:sz w:val="22"/>
          <w:szCs w:val="22"/>
        </w:rPr>
        <w:t>RADS category ≥5 was noted in 66.8%, and 69.2% had multiple suspicious lymph nodes.</w:t>
      </w:r>
    </w:p>
    <w:p w14:paraId="63D5D11F" w14:textId="2CB22819" w:rsidR="009D09FB" w:rsidRPr="00A90E5F" w:rsidRDefault="00903F5B" w:rsidP="00A90E5F">
      <w:pPr>
        <w:tabs>
          <w:tab w:val="left" w:pos="284"/>
        </w:tabs>
        <w:spacing w:line="340" w:lineRule="exact"/>
        <w:rPr>
          <w:rFonts w:eastAsiaTheme="majorEastAsia"/>
          <w:bCs/>
          <w:sz w:val="22"/>
          <w:szCs w:val="22"/>
        </w:rPr>
      </w:pPr>
      <w:r w:rsidRPr="00A90E5F">
        <w:rPr>
          <w:rFonts w:eastAsiaTheme="majorEastAsia"/>
          <w:bCs/>
          <w:sz w:val="22"/>
          <w:szCs w:val="22"/>
        </w:rPr>
        <w:lastRenderedPageBreak/>
        <w:t>-</w:t>
      </w:r>
      <w:r w:rsidR="00A30B8B" w:rsidRPr="00A90E5F">
        <w:rPr>
          <w:rFonts w:eastAsiaTheme="majorEastAsia"/>
          <w:bCs/>
          <w:sz w:val="22"/>
          <w:szCs w:val="22"/>
        </w:rPr>
        <w:t xml:space="preserve"> </w:t>
      </w:r>
      <w:r w:rsidR="009D09FB" w:rsidRPr="00A90E5F">
        <w:rPr>
          <w:rFonts w:eastAsiaTheme="majorEastAsia"/>
          <w:bCs/>
          <w:sz w:val="22"/>
          <w:szCs w:val="22"/>
        </w:rPr>
        <w:t>Histologically, invasive carcinoma of no special type (NST) accounted for 83.2%. Regarding immunohistochemistry, ER</w:t>
      </w:r>
      <w:r w:rsidRPr="00A90E5F">
        <w:rPr>
          <w:rFonts w:eastAsiaTheme="majorEastAsia"/>
          <w:bCs/>
          <w:sz w:val="22"/>
          <w:szCs w:val="22"/>
        </w:rPr>
        <w:t>-</w:t>
      </w:r>
      <w:r w:rsidR="009D09FB" w:rsidRPr="00A90E5F">
        <w:rPr>
          <w:rFonts w:eastAsiaTheme="majorEastAsia"/>
          <w:bCs/>
          <w:sz w:val="22"/>
          <w:szCs w:val="22"/>
        </w:rPr>
        <w:t>positive was observed in 67.2%, PR</w:t>
      </w:r>
      <w:r w:rsidRPr="00A90E5F">
        <w:rPr>
          <w:rFonts w:eastAsiaTheme="majorEastAsia"/>
          <w:bCs/>
          <w:sz w:val="22"/>
          <w:szCs w:val="22"/>
        </w:rPr>
        <w:t>-</w:t>
      </w:r>
      <w:r w:rsidR="009D09FB" w:rsidRPr="00A90E5F">
        <w:rPr>
          <w:rFonts w:eastAsiaTheme="majorEastAsia"/>
          <w:bCs/>
          <w:sz w:val="22"/>
          <w:szCs w:val="22"/>
        </w:rPr>
        <w:t>positive in 53.6%, and HER2</w:t>
      </w:r>
      <w:r w:rsidRPr="00A90E5F">
        <w:rPr>
          <w:rFonts w:eastAsiaTheme="majorEastAsia"/>
          <w:bCs/>
          <w:sz w:val="22"/>
          <w:szCs w:val="22"/>
        </w:rPr>
        <w:t>-</w:t>
      </w:r>
      <w:r w:rsidR="009D09FB" w:rsidRPr="00A90E5F">
        <w:rPr>
          <w:rFonts w:eastAsiaTheme="majorEastAsia"/>
          <w:bCs/>
          <w:sz w:val="22"/>
          <w:szCs w:val="22"/>
        </w:rPr>
        <w:t>positive in 42.4%. Most tumors were histological grade II (44.8%).</w:t>
      </w:r>
    </w:p>
    <w:p w14:paraId="1A5FC524" w14:textId="5BE389EB" w:rsidR="002410A6" w:rsidRPr="00A90E5F" w:rsidRDefault="00903F5B" w:rsidP="00A90E5F">
      <w:pPr>
        <w:tabs>
          <w:tab w:val="left" w:pos="284"/>
        </w:tabs>
        <w:spacing w:line="340" w:lineRule="exact"/>
        <w:rPr>
          <w:bCs/>
          <w:sz w:val="22"/>
          <w:szCs w:val="22"/>
          <w:lang w:eastAsia="en-US"/>
        </w:rPr>
      </w:pPr>
      <w:r w:rsidRPr="00A90E5F">
        <w:rPr>
          <w:rFonts w:eastAsiaTheme="majorEastAsia"/>
          <w:bCs/>
          <w:sz w:val="22"/>
          <w:szCs w:val="22"/>
        </w:rPr>
        <w:t>-</w:t>
      </w:r>
      <w:r w:rsidR="00A30B8B" w:rsidRPr="00A90E5F">
        <w:rPr>
          <w:rFonts w:eastAsiaTheme="majorEastAsia"/>
          <w:bCs/>
          <w:sz w:val="22"/>
          <w:szCs w:val="22"/>
        </w:rPr>
        <w:t xml:space="preserve"> </w:t>
      </w:r>
      <w:r w:rsidR="009D09FB" w:rsidRPr="00A90E5F">
        <w:rPr>
          <w:rFonts w:eastAsiaTheme="majorEastAsia"/>
          <w:bCs/>
          <w:sz w:val="22"/>
          <w:szCs w:val="22"/>
        </w:rPr>
        <w:t>TNM staging indicated most patients were classified as cT4 (62.4%) and cN2 (69.2%). Clinical staging distribution was: IIIA (32.0%), IIIB (46.8%), and IIIC (21.2%), reflecting advanced disease at diagnosis.</w:t>
      </w:r>
    </w:p>
    <w:p w14:paraId="3162BF9B" w14:textId="2DD23F37" w:rsidR="00890A97" w:rsidRPr="00A90E5F" w:rsidRDefault="003730FF" w:rsidP="00A90E5F">
      <w:pPr>
        <w:tabs>
          <w:tab w:val="left" w:pos="284"/>
        </w:tabs>
        <w:spacing w:line="340" w:lineRule="exact"/>
        <w:rPr>
          <w:sz w:val="22"/>
          <w:szCs w:val="22"/>
        </w:rPr>
      </w:pPr>
      <w:r w:rsidRPr="00A90E5F">
        <w:rPr>
          <w:b/>
          <w:bCs/>
          <w:sz w:val="22"/>
          <w:szCs w:val="22"/>
        </w:rPr>
        <w:t xml:space="preserve">Table </w:t>
      </w:r>
      <w:r w:rsidR="00FF070D" w:rsidRPr="00A90E5F">
        <w:rPr>
          <w:b/>
          <w:bCs/>
          <w:sz w:val="22"/>
          <w:szCs w:val="22"/>
        </w:rPr>
        <w:fldChar w:fldCharType="begin"/>
      </w:r>
      <w:r w:rsidR="00FF070D" w:rsidRPr="00A90E5F">
        <w:rPr>
          <w:b/>
          <w:bCs/>
          <w:sz w:val="22"/>
          <w:szCs w:val="22"/>
        </w:rPr>
        <w:instrText xml:space="preserve"> STYLEREF 1 \s </w:instrText>
      </w:r>
      <w:r w:rsidR="00FF070D" w:rsidRPr="00A90E5F">
        <w:rPr>
          <w:b/>
          <w:bCs/>
          <w:sz w:val="22"/>
          <w:szCs w:val="22"/>
        </w:rPr>
        <w:fldChar w:fldCharType="separate"/>
      </w:r>
      <w:r w:rsidR="0082743F" w:rsidRPr="00A90E5F">
        <w:rPr>
          <w:b/>
          <w:bCs/>
          <w:noProof/>
          <w:sz w:val="22"/>
          <w:szCs w:val="22"/>
        </w:rPr>
        <w:t>3</w:t>
      </w:r>
      <w:r w:rsidR="00FF070D" w:rsidRPr="00A90E5F">
        <w:rPr>
          <w:b/>
          <w:bCs/>
          <w:sz w:val="22"/>
          <w:szCs w:val="22"/>
        </w:rPr>
        <w:fldChar w:fldCharType="end"/>
      </w:r>
      <w:r w:rsidR="00FF070D" w:rsidRPr="00A90E5F">
        <w:rPr>
          <w:b/>
          <w:bCs/>
          <w:sz w:val="22"/>
          <w:szCs w:val="22"/>
        </w:rPr>
        <w:t>.11.</w:t>
      </w:r>
      <w:r w:rsidR="00FF070D" w:rsidRPr="00A90E5F">
        <w:rPr>
          <w:sz w:val="22"/>
          <w:szCs w:val="22"/>
        </w:rPr>
        <w:t xml:space="preserve"> </w:t>
      </w:r>
      <w:r w:rsidR="00890A97" w:rsidRPr="00A90E5F">
        <w:rPr>
          <w:bCs/>
          <w:sz w:val="22"/>
          <w:szCs w:val="22"/>
        </w:rPr>
        <w:t xml:space="preserve">Molecular grouping according to the 2015 St.Gallen </w:t>
      </w:r>
      <w:r w:rsidR="009D09FB" w:rsidRPr="00A90E5F">
        <w:rPr>
          <w:bCs/>
          <w:sz w:val="22"/>
          <w:szCs w:val="22"/>
        </w:rPr>
        <w:t>C</w:t>
      </w:r>
      <w:r w:rsidR="00890A97" w:rsidRPr="00A90E5F">
        <w:rPr>
          <w:bCs/>
          <w:sz w:val="22"/>
          <w:szCs w:val="22"/>
        </w:rPr>
        <w:t>onsensus conference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tbl>
      <w:tblPr>
        <w:tblStyle w:val="PlainTable2"/>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537"/>
        <w:gridCol w:w="2126"/>
        <w:gridCol w:w="1431"/>
      </w:tblGrid>
      <w:tr w:rsidR="00502BD6" w:rsidRPr="00A90E5F" w14:paraId="21178D52" w14:textId="77777777" w:rsidTr="00A30B8B">
        <w:trPr>
          <w:cnfStyle w:val="100000000000" w:firstRow="1" w:lastRow="0" w:firstColumn="0" w:lastColumn="0" w:oddVBand="0" w:evenVBand="0" w:oddHBand="0"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2082" w:type="pct"/>
          </w:tcPr>
          <w:p w14:paraId="7F0191DF" w14:textId="295DF36B" w:rsidR="00BC156E" w:rsidRPr="00A90E5F" w:rsidRDefault="00BC156E" w:rsidP="00A90E5F">
            <w:pPr>
              <w:tabs>
                <w:tab w:val="left" w:pos="284"/>
              </w:tabs>
              <w:spacing w:line="340" w:lineRule="exact"/>
              <w:rPr>
                <w:sz w:val="22"/>
                <w:szCs w:val="22"/>
                <w:lang w:val="en-US"/>
              </w:rPr>
            </w:pPr>
            <w:r w:rsidRPr="00A90E5F">
              <w:rPr>
                <w:sz w:val="22"/>
                <w:szCs w:val="22"/>
              </w:rPr>
              <w:t xml:space="preserve">Molecular classification </w:t>
            </w:r>
          </w:p>
        </w:tc>
        <w:tc>
          <w:tcPr>
            <w:tcW w:w="1744" w:type="pct"/>
          </w:tcPr>
          <w:p w14:paraId="7A461C1B" w14:textId="4CE0CB40" w:rsidR="00BC156E" w:rsidRPr="00A90E5F" w:rsidRDefault="001723B1" w:rsidP="00A90E5F">
            <w:pPr>
              <w:tabs>
                <w:tab w:val="left" w:pos="284"/>
              </w:tabs>
              <w:spacing w:line="340" w:lineRule="exact"/>
              <w:cnfStyle w:val="100000000000" w:firstRow="1" w:lastRow="0" w:firstColumn="0" w:lastColumn="0" w:oddVBand="0" w:evenVBand="0" w:oddHBand="0" w:evenHBand="0" w:firstRowFirstColumn="0" w:firstRowLastColumn="0" w:lastRowFirstColumn="0" w:lastRowLastColumn="0"/>
              <w:rPr>
                <w:sz w:val="22"/>
                <w:szCs w:val="22"/>
                <w:lang w:val="en-US"/>
              </w:rPr>
            </w:pPr>
            <w:r w:rsidRPr="00A90E5F">
              <w:rPr>
                <w:sz w:val="22"/>
                <w:szCs w:val="22"/>
              </w:rPr>
              <w:t xml:space="preserve">Number of </w:t>
            </w:r>
            <w:r w:rsidR="009D09FB" w:rsidRPr="00A90E5F">
              <w:rPr>
                <w:sz w:val="22"/>
                <w:szCs w:val="22"/>
              </w:rPr>
              <w:t>Patien</w:t>
            </w:r>
            <w:r w:rsidR="00903F5B" w:rsidRPr="00A90E5F">
              <w:rPr>
                <w:sz w:val="22"/>
                <w:szCs w:val="22"/>
              </w:rPr>
              <w:t>t</w:t>
            </w:r>
            <w:r w:rsidR="009D09FB" w:rsidRPr="00A90E5F">
              <w:rPr>
                <w:sz w:val="22"/>
                <w:szCs w:val="22"/>
              </w:rPr>
              <w:t>s</w:t>
            </w:r>
            <w:r w:rsidRPr="00A90E5F">
              <w:rPr>
                <w:sz w:val="22"/>
                <w:szCs w:val="22"/>
              </w:rPr>
              <w:t xml:space="preserve"> </w:t>
            </w:r>
          </w:p>
        </w:tc>
        <w:tc>
          <w:tcPr>
            <w:tcW w:w="1174" w:type="pct"/>
          </w:tcPr>
          <w:p w14:paraId="6EB14100" w14:textId="185D8C83" w:rsidR="00BC156E" w:rsidRPr="00A90E5F" w:rsidRDefault="001723B1" w:rsidP="00A90E5F">
            <w:pPr>
              <w:tabs>
                <w:tab w:val="left" w:pos="284"/>
              </w:tabs>
              <w:spacing w:line="340" w:lineRule="exact"/>
              <w:cnfStyle w:val="100000000000" w:firstRow="1" w:lastRow="0" w:firstColumn="0" w:lastColumn="0" w:oddVBand="0" w:evenVBand="0" w:oddHBand="0" w:evenHBand="0" w:firstRowFirstColumn="0" w:firstRowLastColumn="0" w:lastRowFirstColumn="0" w:lastRowLastColumn="0"/>
              <w:rPr>
                <w:sz w:val="22"/>
                <w:szCs w:val="22"/>
                <w:lang w:val="en-US"/>
              </w:rPr>
            </w:pPr>
            <w:r w:rsidRPr="00A90E5F">
              <w:rPr>
                <w:sz w:val="22"/>
                <w:szCs w:val="22"/>
              </w:rPr>
              <w:t xml:space="preserve">Percentage </w:t>
            </w:r>
          </w:p>
        </w:tc>
      </w:tr>
      <w:tr w:rsidR="00502BD6" w:rsidRPr="00A90E5F" w14:paraId="4B758820" w14:textId="77777777" w:rsidTr="00FB0C01">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082" w:type="pct"/>
          </w:tcPr>
          <w:p w14:paraId="1F95410F" w14:textId="77777777" w:rsidR="00890A97" w:rsidRPr="00A90E5F" w:rsidRDefault="00890A97" w:rsidP="00A90E5F">
            <w:pPr>
              <w:tabs>
                <w:tab w:val="left" w:pos="284"/>
              </w:tabs>
              <w:spacing w:line="340" w:lineRule="exact"/>
              <w:rPr>
                <w:sz w:val="22"/>
                <w:szCs w:val="22"/>
                <w:lang w:val="en-US"/>
              </w:rPr>
            </w:pPr>
            <w:r w:rsidRPr="00A90E5F">
              <w:rPr>
                <w:sz w:val="22"/>
                <w:szCs w:val="22"/>
              </w:rPr>
              <w:t>Luminal A</w:t>
            </w:r>
          </w:p>
        </w:tc>
        <w:tc>
          <w:tcPr>
            <w:tcW w:w="1744" w:type="pct"/>
          </w:tcPr>
          <w:p w14:paraId="3BED8DC1" w14:textId="77777777" w:rsidR="00890A97" w:rsidRPr="00A90E5F" w:rsidRDefault="00890A97" w:rsidP="00A90E5F">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sz w:val="22"/>
                <w:szCs w:val="22"/>
                <w:lang w:val="en-US"/>
              </w:rPr>
            </w:pPr>
            <w:r w:rsidRPr="00A90E5F">
              <w:rPr>
                <w:sz w:val="22"/>
                <w:szCs w:val="22"/>
              </w:rPr>
              <w:t>29</w:t>
            </w:r>
          </w:p>
        </w:tc>
        <w:tc>
          <w:tcPr>
            <w:tcW w:w="1174" w:type="pct"/>
          </w:tcPr>
          <w:p w14:paraId="2363EC86" w14:textId="77777777" w:rsidR="00890A97" w:rsidRPr="00A90E5F" w:rsidRDefault="00890A97" w:rsidP="00A90E5F">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sz w:val="22"/>
                <w:szCs w:val="22"/>
                <w:lang w:val="en-US"/>
              </w:rPr>
            </w:pPr>
            <w:r w:rsidRPr="00A90E5F">
              <w:rPr>
                <w:sz w:val="22"/>
                <w:szCs w:val="22"/>
              </w:rPr>
              <w:t>11,60</w:t>
            </w:r>
          </w:p>
        </w:tc>
      </w:tr>
      <w:tr w:rsidR="00502BD6" w:rsidRPr="00A90E5F" w14:paraId="3BC3A1A7" w14:textId="77777777" w:rsidTr="00FB0C01">
        <w:trPr>
          <w:trHeight w:val="300"/>
        </w:trPr>
        <w:tc>
          <w:tcPr>
            <w:cnfStyle w:val="001000000000" w:firstRow="0" w:lastRow="0" w:firstColumn="1" w:lastColumn="0" w:oddVBand="0" w:evenVBand="0" w:oddHBand="0" w:evenHBand="0" w:firstRowFirstColumn="0" w:firstRowLastColumn="0" w:lastRowFirstColumn="0" w:lastRowLastColumn="0"/>
            <w:tcW w:w="2082" w:type="pct"/>
          </w:tcPr>
          <w:p w14:paraId="76F41D59" w14:textId="76EB06A4" w:rsidR="00890A97" w:rsidRPr="00A90E5F" w:rsidRDefault="00890A97" w:rsidP="00A90E5F">
            <w:pPr>
              <w:tabs>
                <w:tab w:val="left" w:pos="284"/>
              </w:tabs>
              <w:spacing w:line="340" w:lineRule="exact"/>
              <w:rPr>
                <w:sz w:val="22"/>
                <w:szCs w:val="22"/>
                <w:lang w:val="en-US"/>
              </w:rPr>
            </w:pPr>
            <w:r w:rsidRPr="00A90E5F">
              <w:rPr>
                <w:sz w:val="22"/>
                <w:szCs w:val="22"/>
              </w:rPr>
              <w:t>Luminal B/HER2(</w:t>
            </w:r>
            <w:r w:rsidR="00903F5B" w:rsidRPr="00A90E5F">
              <w:rPr>
                <w:sz w:val="22"/>
                <w:szCs w:val="22"/>
              </w:rPr>
              <w:t>-</w:t>
            </w:r>
            <w:r w:rsidRPr="00A90E5F">
              <w:rPr>
                <w:sz w:val="22"/>
                <w:szCs w:val="22"/>
              </w:rPr>
              <w:t>)</w:t>
            </w:r>
          </w:p>
        </w:tc>
        <w:tc>
          <w:tcPr>
            <w:tcW w:w="1744" w:type="pct"/>
          </w:tcPr>
          <w:p w14:paraId="0E16C47D" w14:textId="77777777" w:rsidR="00890A97" w:rsidRPr="00A90E5F" w:rsidRDefault="00890A97" w:rsidP="00A90E5F">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sz w:val="22"/>
                <w:szCs w:val="22"/>
                <w:lang w:val="en-US"/>
              </w:rPr>
            </w:pPr>
            <w:r w:rsidRPr="00A90E5F">
              <w:rPr>
                <w:sz w:val="22"/>
                <w:szCs w:val="22"/>
              </w:rPr>
              <w:t>86</w:t>
            </w:r>
          </w:p>
        </w:tc>
        <w:tc>
          <w:tcPr>
            <w:tcW w:w="1174" w:type="pct"/>
          </w:tcPr>
          <w:p w14:paraId="1A7CAB48" w14:textId="77777777" w:rsidR="00890A97" w:rsidRPr="00A90E5F" w:rsidRDefault="00890A97" w:rsidP="00A90E5F">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sz w:val="22"/>
                <w:szCs w:val="22"/>
                <w:lang w:val="en-US"/>
              </w:rPr>
            </w:pPr>
            <w:r w:rsidRPr="00A90E5F">
              <w:rPr>
                <w:sz w:val="22"/>
                <w:szCs w:val="22"/>
              </w:rPr>
              <w:t>34,40</w:t>
            </w:r>
          </w:p>
        </w:tc>
      </w:tr>
      <w:tr w:rsidR="00502BD6" w:rsidRPr="00A90E5F" w14:paraId="7064BAAD" w14:textId="77777777" w:rsidTr="00FB0C01">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082" w:type="pct"/>
          </w:tcPr>
          <w:p w14:paraId="5B1D5BDB" w14:textId="77777777" w:rsidR="00890A97" w:rsidRPr="00A90E5F" w:rsidRDefault="00890A97" w:rsidP="00A90E5F">
            <w:pPr>
              <w:tabs>
                <w:tab w:val="left" w:pos="284"/>
              </w:tabs>
              <w:spacing w:line="340" w:lineRule="exact"/>
              <w:rPr>
                <w:sz w:val="22"/>
                <w:szCs w:val="22"/>
                <w:lang w:val="en-US"/>
              </w:rPr>
            </w:pPr>
            <w:r w:rsidRPr="00A90E5F">
              <w:rPr>
                <w:sz w:val="22"/>
                <w:szCs w:val="22"/>
              </w:rPr>
              <w:t>Luminal B/HER2 (+)</w:t>
            </w:r>
          </w:p>
        </w:tc>
        <w:tc>
          <w:tcPr>
            <w:tcW w:w="1744" w:type="pct"/>
          </w:tcPr>
          <w:p w14:paraId="1059D8BF" w14:textId="77777777" w:rsidR="00890A97" w:rsidRPr="00A90E5F" w:rsidRDefault="00890A97" w:rsidP="00A90E5F">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sz w:val="22"/>
                <w:szCs w:val="22"/>
                <w:lang w:val="en-US"/>
              </w:rPr>
            </w:pPr>
            <w:r w:rsidRPr="00A90E5F">
              <w:rPr>
                <w:sz w:val="22"/>
                <w:szCs w:val="22"/>
              </w:rPr>
              <w:t>53</w:t>
            </w:r>
          </w:p>
        </w:tc>
        <w:tc>
          <w:tcPr>
            <w:tcW w:w="1174" w:type="pct"/>
          </w:tcPr>
          <w:p w14:paraId="61DCD859" w14:textId="77777777" w:rsidR="00890A97" w:rsidRPr="00A90E5F" w:rsidRDefault="00890A97" w:rsidP="00A90E5F">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sz w:val="22"/>
                <w:szCs w:val="22"/>
                <w:lang w:val="en-US"/>
              </w:rPr>
            </w:pPr>
            <w:r w:rsidRPr="00A90E5F">
              <w:rPr>
                <w:sz w:val="22"/>
                <w:szCs w:val="22"/>
              </w:rPr>
              <w:t>21,20</w:t>
            </w:r>
          </w:p>
        </w:tc>
      </w:tr>
      <w:tr w:rsidR="00502BD6" w:rsidRPr="00A90E5F" w14:paraId="712184A6" w14:textId="77777777" w:rsidTr="00A30B8B">
        <w:trPr>
          <w:trHeight w:val="290"/>
        </w:trPr>
        <w:tc>
          <w:tcPr>
            <w:cnfStyle w:val="001000000000" w:firstRow="0" w:lastRow="0" w:firstColumn="1" w:lastColumn="0" w:oddVBand="0" w:evenVBand="0" w:oddHBand="0" w:evenHBand="0" w:firstRowFirstColumn="0" w:firstRowLastColumn="0" w:lastRowFirstColumn="0" w:lastRowLastColumn="0"/>
            <w:tcW w:w="2082" w:type="pct"/>
          </w:tcPr>
          <w:p w14:paraId="635A71B6" w14:textId="77777777" w:rsidR="00890A97" w:rsidRPr="00A90E5F" w:rsidRDefault="00890A97" w:rsidP="00A90E5F">
            <w:pPr>
              <w:tabs>
                <w:tab w:val="left" w:pos="284"/>
              </w:tabs>
              <w:spacing w:line="340" w:lineRule="exact"/>
              <w:rPr>
                <w:sz w:val="22"/>
                <w:szCs w:val="22"/>
                <w:lang w:val="en-US"/>
              </w:rPr>
            </w:pPr>
            <w:r w:rsidRPr="00A90E5F">
              <w:rPr>
                <w:sz w:val="22"/>
                <w:szCs w:val="22"/>
              </w:rPr>
              <w:t>HER2 (+)</w:t>
            </w:r>
          </w:p>
        </w:tc>
        <w:tc>
          <w:tcPr>
            <w:tcW w:w="1744" w:type="pct"/>
          </w:tcPr>
          <w:p w14:paraId="1FC93E7E" w14:textId="77777777" w:rsidR="00890A97" w:rsidRPr="00A90E5F" w:rsidRDefault="00890A97" w:rsidP="00A90E5F">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sz w:val="22"/>
                <w:szCs w:val="22"/>
                <w:lang w:val="en-US"/>
              </w:rPr>
            </w:pPr>
            <w:r w:rsidRPr="00A90E5F">
              <w:rPr>
                <w:sz w:val="22"/>
                <w:szCs w:val="22"/>
              </w:rPr>
              <w:t>50</w:t>
            </w:r>
          </w:p>
        </w:tc>
        <w:tc>
          <w:tcPr>
            <w:tcW w:w="1174" w:type="pct"/>
          </w:tcPr>
          <w:p w14:paraId="066F266B" w14:textId="77777777" w:rsidR="00890A97" w:rsidRPr="00A90E5F" w:rsidRDefault="00890A97" w:rsidP="00A90E5F">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sz w:val="22"/>
                <w:szCs w:val="22"/>
                <w:lang w:val="en-US"/>
              </w:rPr>
            </w:pPr>
            <w:r w:rsidRPr="00A90E5F">
              <w:rPr>
                <w:sz w:val="22"/>
                <w:szCs w:val="22"/>
              </w:rPr>
              <w:t>20,00</w:t>
            </w:r>
          </w:p>
        </w:tc>
      </w:tr>
      <w:tr w:rsidR="00502BD6" w:rsidRPr="00A90E5F" w14:paraId="2FCCF419" w14:textId="77777777" w:rsidTr="00FB0C01">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2082" w:type="pct"/>
          </w:tcPr>
          <w:p w14:paraId="2DEAD3D6" w14:textId="77777777" w:rsidR="00890A97" w:rsidRPr="00A90E5F" w:rsidRDefault="00890A97" w:rsidP="00A90E5F">
            <w:pPr>
              <w:tabs>
                <w:tab w:val="left" w:pos="284"/>
              </w:tabs>
              <w:spacing w:line="340" w:lineRule="exact"/>
              <w:rPr>
                <w:sz w:val="22"/>
                <w:szCs w:val="22"/>
                <w:lang w:val="en-US"/>
              </w:rPr>
            </w:pPr>
            <w:r w:rsidRPr="00A90E5F">
              <w:rPr>
                <w:sz w:val="22"/>
                <w:szCs w:val="22"/>
              </w:rPr>
              <w:t>TNBC (Triple Negative)</w:t>
            </w:r>
          </w:p>
        </w:tc>
        <w:tc>
          <w:tcPr>
            <w:tcW w:w="1744" w:type="pct"/>
          </w:tcPr>
          <w:p w14:paraId="24CD7237" w14:textId="77777777" w:rsidR="00890A97" w:rsidRPr="00A90E5F" w:rsidRDefault="00890A97" w:rsidP="00A90E5F">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sz w:val="22"/>
                <w:szCs w:val="22"/>
                <w:lang w:val="en-US"/>
              </w:rPr>
            </w:pPr>
            <w:r w:rsidRPr="00A90E5F">
              <w:rPr>
                <w:sz w:val="22"/>
                <w:szCs w:val="22"/>
              </w:rPr>
              <w:t>32</w:t>
            </w:r>
          </w:p>
        </w:tc>
        <w:tc>
          <w:tcPr>
            <w:tcW w:w="1174" w:type="pct"/>
          </w:tcPr>
          <w:p w14:paraId="78A367AB" w14:textId="77777777" w:rsidR="00890A97" w:rsidRPr="00A90E5F" w:rsidRDefault="00890A97" w:rsidP="00A90E5F">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sz w:val="22"/>
                <w:szCs w:val="22"/>
                <w:lang w:val="en-US"/>
              </w:rPr>
            </w:pPr>
            <w:r w:rsidRPr="00A90E5F">
              <w:rPr>
                <w:sz w:val="22"/>
                <w:szCs w:val="22"/>
              </w:rPr>
              <w:t>12,80</w:t>
            </w:r>
          </w:p>
        </w:tc>
      </w:tr>
      <w:tr w:rsidR="00502BD6" w:rsidRPr="00A90E5F" w14:paraId="3FF7814B" w14:textId="77777777" w:rsidTr="00A30B8B">
        <w:trPr>
          <w:trHeight w:val="155"/>
        </w:trPr>
        <w:tc>
          <w:tcPr>
            <w:cnfStyle w:val="001000000000" w:firstRow="0" w:lastRow="0" w:firstColumn="1" w:lastColumn="0" w:oddVBand="0" w:evenVBand="0" w:oddHBand="0" w:evenHBand="0" w:firstRowFirstColumn="0" w:firstRowLastColumn="0" w:lastRowFirstColumn="0" w:lastRowLastColumn="0"/>
            <w:tcW w:w="2082" w:type="pct"/>
          </w:tcPr>
          <w:p w14:paraId="4C8DB481" w14:textId="3F9DD544" w:rsidR="00E320CE" w:rsidRPr="00A90E5F" w:rsidRDefault="00FB0C01" w:rsidP="00A90E5F">
            <w:pPr>
              <w:tabs>
                <w:tab w:val="left" w:pos="284"/>
              </w:tabs>
              <w:spacing w:line="340" w:lineRule="exact"/>
              <w:rPr>
                <w:sz w:val="22"/>
                <w:szCs w:val="22"/>
                <w:lang w:val="en-US"/>
              </w:rPr>
            </w:pPr>
            <w:r w:rsidRPr="00A90E5F">
              <w:rPr>
                <w:sz w:val="22"/>
                <w:szCs w:val="22"/>
              </w:rPr>
              <w:t>Total</w:t>
            </w:r>
          </w:p>
        </w:tc>
        <w:tc>
          <w:tcPr>
            <w:tcW w:w="1744" w:type="pct"/>
          </w:tcPr>
          <w:p w14:paraId="735294F3" w14:textId="1224DCC7" w:rsidR="00E320CE" w:rsidRPr="00A90E5F" w:rsidRDefault="00E320CE" w:rsidP="00A90E5F">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b/>
                <w:bCs/>
                <w:sz w:val="22"/>
                <w:szCs w:val="22"/>
              </w:rPr>
            </w:pPr>
            <w:r w:rsidRPr="00A90E5F">
              <w:rPr>
                <w:b/>
                <w:bCs/>
                <w:sz w:val="22"/>
                <w:szCs w:val="22"/>
              </w:rPr>
              <w:t>250</w:t>
            </w:r>
          </w:p>
        </w:tc>
        <w:tc>
          <w:tcPr>
            <w:tcW w:w="1174" w:type="pct"/>
          </w:tcPr>
          <w:p w14:paraId="42292830" w14:textId="38D17E95" w:rsidR="00E320CE" w:rsidRPr="00A90E5F" w:rsidRDefault="00A541B0" w:rsidP="00A90E5F">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b/>
                <w:bCs/>
                <w:sz w:val="22"/>
                <w:szCs w:val="22"/>
              </w:rPr>
            </w:pPr>
            <w:r w:rsidRPr="00A90E5F">
              <w:rPr>
                <w:b/>
                <w:bCs/>
                <w:sz w:val="22"/>
                <w:szCs w:val="22"/>
              </w:rPr>
              <w:t>100</w:t>
            </w:r>
          </w:p>
        </w:tc>
      </w:tr>
    </w:tbl>
    <w:bookmarkEnd w:id="31"/>
    <w:p w14:paraId="3A0CC277" w14:textId="53F8B0ED" w:rsidR="009D09FB" w:rsidRPr="00A90E5F" w:rsidRDefault="009D09FB" w:rsidP="00A90E5F">
      <w:pPr>
        <w:tabs>
          <w:tab w:val="left" w:pos="284"/>
        </w:tabs>
        <w:spacing w:line="340" w:lineRule="exact"/>
        <w:rPr>
          <w:rFonts w:eastAsiaTheme="majorEastAsia"/>
          <w:b/>
          <w:bCs/>
          <w:iCs/>
          <w:sz w:val="22"/>
          <w:szCs w:val="22"/>
          <w:lang w:val="en-US" w:eastAsia="en-US"/>
        </w:rPr>
      </w:pPr>
      <w:r w:rsidRPr="00A90E5F">
        <w:rPr>
          <w:rFonts w:eastAsiaTheme="majorEastAsia"/>
          <w:b/>
          <w:bCs/>
          <w:iCs/>
          <w:sz w:val="22"/>
          <w:szCs w:val="22"/>
          <w:lang w:val="en-US" w:eastAsia="en-US"/>
        </w:rPr>
        <w:t>3.2. Neoadjuvant Chemotherapy Outcomes</w:t>
      </w:r>
    </w:p>
    <w:p w14:paraId="41DA78C9" w14:textId="385C0D57" w:rsidR="009D09FB" w:rsidRPr="00A90E5F" w:rsidRDefault="009D09FB" w:rsidP="00A90E5F">
      <w:pPr>
        <w:tabs>
          <w:tab w:val="left" w:pos="284"/>
        </w:tabs>
        <w:spacing w:line="340" w:lineRule="exact"/>
        <w:rPr>
          <w:rFonts w:eastAsiaTheme="majorEastAsia"/>
          <w:iCs/>
          <w:sz w:val="22"/>
          <w:szCs w:val="22"/>
          <w:lang w:val="en-US" w:eastAsia="en-US"/>
        </w:rPr>
      </w:pPr>
      <w:r w:rsidRPr="00A90E5F">
        <w:rPr>
          <w:rFonts w:eastAsiaTheme="majorEastAsia"/>
          <w:b/>
          <w:bCs/>
          <w:i/>
          <w:sz w:val="22"/>
          <w:szCs w:val="22"/>
          <w:lang w:val="en-US" w:eastAsia="en-US"/>
        </w:rPr>
        <w:t>3.2.1. Chemotherapy Regimens:</w:t>
      </w:r>
      <w:r w:rsidRPr="00A90E5F">
        <w:rPr>
          <w:rFonts w:eastAsiaTheme="majorEastAsia"/>
          <w:iCs/>
          <w:sz w:val="22"/>
          <w:szCs w:val="22"/>
          <w:lang w:val="en-US" w:eastAsia="en-US"/>
        </w:rPr>
        <w:t xml:space="preserve"> 82% of patients received anthracycline</w:t>
      </w:r>
      <w:r w:rsidR="00903F5B" w:rsidRPr="00A90E5F">
        <w:rPr>
          <w:rFonts w:eastAsiaTheme="majorEastAsia"/>
          <w:iCs/>
          <w:sz w:val="22"/>
          <w:szCs w:val="22"/>
          <w:lang w:val="en-US" w:eastAsia="en-US"/>
        </w:rPr>
        <w:t>-</w:t>
      </w:r>
      <w:r w:rsidRPr="00A90E5F">
        <w:rPr>
          <w:rFonts w:eastAsiaTheme="majorEastAsia"/>
          <w:iCs/>
          <w:sz w:val="22"/>
          <w:szCs w:val="22"/>
          <w:lang w:val="en-US" w:eastAsia="en-US"/>
        </w:rPr>
        <w:t>containing regimens, with 4AC+4T being the most common (62%). Non</w:t>
      </w:r>
      <w:r w:rsidR="00903F5B" w:rsidRPr="00A90E5F">
        <w:rPr>
          <w:rFonts w:eastAsiaTheme="majorEastAsia"/>
          <w:iCs/>
          <w:sz w:val="22"/>
          <w:szCs w:val="22"/>
          <w:lang w:val="en-US" w:eastAsia="en-US"/>
        </w:rPr>
        <w:t>-</w:t>
      </w:r>
      <w:r w:rsidRPr="00A90E5F">
        <w:rPr>
          <w:rFonts w:eastAsiaTheme="majorEastAsia"/>
          <w:iCs/>
          <w:sz w:val="22"/>
          <w:szCs w:val="22"/>
          <w:lang w:val="en-US" w:eastAsia="en-US"/>
        </w:rPr>
        <w:t>anthracycline regimens (e.g., TC, TCH) were used in 18%. Dose</w:t>
      </w:r>
      <w:r w:rsidR="00903F5B" w:rsidRPr="00A90E5F">
        <w:rPr>
          <w:rFonts w:eastAsiaTheme="majorEastAsia"/>
          <w:iCs/>
          <w:sz w:val="22"/>
          <w:szCs w:val="22"/>
          <w:lang w:val="en-US" w:eastAsia="en-US"/>
        </w:rPr>
        <w:t>-</w:t>
      </w:r>
      <w:r w:rsidRPr="00A90E5F">
        <w:rPr>
          <w:rFonts w:eastAsiaTheme="majorEastAsia"/>
          <w:iCs/>
          <w:sz w:val="22"/>
          <w:szCs w:val="22"/>
          <w:lang w:val="en-US" w:eastAsia="en-US"/>
        </w:rPr>
        <w:t>dense chemotherapy was used in 44.0%, while standard 3</w:t>
      </w:r>
      <w:r w:rsidR="00903F5B" w:rsidRPr="00A90E5F">
        <w:rPr>
          <w:rFonts w:eastAsiaTheme="majorEastAsia"/>
          <w:iCs/>
          <w:sz w:val="22"/>
          <w:szCs w:val="22"/>
          <w:lang w:val="en-US" w:eastAsia="en-US"/>
        </w:rPr>
        <w:t>-</w:t>
      </w:r>
      <w:r w:rsidRPr="00A90E5F">
        <w:rPr>
          <w:rFonts w:eastAsiaTheme="majorEastAsia"/>
          <w:iCs/>
          <w:sz w:val="22"/>
          <w:szCs w:val="22"/>
          <w:lang w:val="en-US" w:eastAsia="en-US"/>
        </w:rPr>
        <w:t>week regimens were applied in 56.0%.</w:t>
      </w:r>
    </w:p>
    <w:p w14:paraId="63B6E2B4" w14:textId="30705D1E" w:rsidR="009D09FB" w:rsidRPr="00A90E5F" w:rsidRDefault="009D09FB" w:rsidP="00A90E5F">
      <w:pPr>
        <w:tabs>
          <w:tab w:val="left" w:pos="284"/>
        </w:tabs>
        <w:spacing w:line="340" w:lineRule="exact"/>
        <w:rPr>
          <w:rFonts w:eastAsiaTheme="majorEastAsia"/>
          <w:iCs/>
          <w:sz w:val="22"/>
          <w:szCs w:val="22"/>
          <w:lang w:val="en-US" w:eastAsia="en-US"/>
        </w:rPr>
      </w:pPr>
      <w:r w:rsidRPr="00A90E5F">
        <w:rPr>
          <w:rFonts w:eastAsiaTheme="majorEastAsia"/>
          <w:b/>
          <w:bCs/>
          <w:i/>
          <w:sz w:val="22"/>
          <w:szCs w:val="22"/>
          <w:lang w:val="en-US" w:eastAsia="en-US"/>
        </w:rPr>
        <w:t>3.2.2. Regimen Modification:</w:t>
      </w:r>
      <w:r w:rsidRPr="00A90E5F">
        <w:rPr>
          <w:rFonts w:eastAsiaTheme="majorEastAsia"/>
          <w:iCs/>
          <w:sz w:val="22"/>
          <w:szCs w:val="22"/>
          <w:lang w:val="en-US" w:eastAsia="en-US"/>
        </w:rPr>
        <w:t xml:space="preserve"> 21 patients (8.4%) required regimen modifications due to disease progression (4.8%), COVID</w:t>
      </w:r>
      <w:r w:rsidR="00903F5B" w:rsidRPr="00A90E5F">
        <w:rPr>
          <w:rFonts w:eastAsiaTheme="majorEastAsia"/>
          <w:iCs/>
          <w:sz w:val="22"/>
          <w:szCs w:val="22"/>
          <w:lang w:val="en-US" w:eastAsia="en-US"/>
        </w:rPr>
        <w:t>-</w:t>
      </w:r>
      <w:r w:rsidRPr="00A90E5F">
        <w:rPr>
          <w:rFonts w:eastAsiaTheme="majorEastAsia"/>
          <w:iCs/>
          <w:sz w:val="22"/>
          <w:szCs w:val="22"/>
          <w:lang w:val="en-US" w:eastAsia="en-US"/>
        </w:rPr>
        <w:t xml:space="preserve">19 </w:t>
      </w:r>
      <w:r w:rsidRPr="00A90E5F">
        <w:rPr>
          <w:rFonts w:eastAsiaTheme="majorEastAsia"/>
          <w:iCs/>
          <w:sz w:val="22"/>
          <w:szCs w:val="22"/>
          <w:lang w:val="en-US" w:eastAsia="en-US"/>
        </w:rPr>
        <w:lastRenderedPageBreak/>
        <w:t>disruptions (2.0%), or adverse effects (1.6%). Six patients (2.4%) underwent early surgical intervention.</w:t>
      </w:r>
    </w:p>
    <w:p w14:paraId="4F2E43A8" w14:textId="239191F4" w:rsidR="009D09FB" w:rsidRPr="00A90E5F" w:rsidRDefault="009D09FB" w:rsidP="00A90E5F">
      <w:pPr>
        <w:tabs>
          <w:tab w:val="left" w:pos="284"/>
        </w:tabs>
        <w:spacing w:line="340" w:lineRule="exact"/>
        <w:rPr>
          <w:rFonts w:eastAsiaTheme="majorEastAsia"/>
          <w:iCs/>
          <w:sz w:val="22"/>
          <w:szCs w:val="22"/>
          <w:lang w:val="en-US" w:eastAsia="en-US"/>
        </w:rPr>
      </w:pPr>
      <w:r w:rsidRPr="00A90E5F">
        <w:rPr>
          <w:rFonts w:eastAsiaTheme="majorEastAsia"/>
          <w:b/>
          <w:bCs/>
          <w:i/>
          <w:sz w:val="22"/>
          <w:szCs w:val="22"/>
          <w:lang w:val="en-US" w:eastAsia="en-US"/>
        </w:rPr>
        <w:t>3.2.3. Treatment Adherence:</w:t>
      </w:r>
      <w:r w:rsidRPr="00A90E5F">
        <w:rPr>
          <w:rFonts w:eastAsiaTheme="majorEastAsia"/>
          <w:iCs/>
          <w:sz w:val="22"/>
          <w:szCs w:val="22"/>
          <w:lang w:val="en-US" w:eastAsia="en-US"/>
        </w:rPr>
        <w:t xml:space="preserve"> Complete adherence was observed in 89.6%, and incomplete adherence in 10.4%, primarily due to toxicity (5.6%) and COVID</w:t>
      </w:r>
      <w:r w:rsidR="00903F5B" w:rsidRPr="00A90E5F">
        <w:rPr>
          <w:rFonts w:eastAsiaTheme="majorEastAsia"/>
          <w:iCs/>
          <w:sz w:val="22"/>
          <w:szCs w:val="22"/>
          <w:lang w:val="en-US" w:eastAsia="en-US"/>
        </w:rPr>
        <w:t>-</w:t>
      </w:r>
      <w:r w:rsidRPr="00A90E5F">
        <w:rPr>
          <w:rFonts w:eastAsiaTheme="majorEastAsia"/>
          <w:iCs/>
          <w:sz w:val="22"/>
          <w:szCs w:val="22"/>
          <w:lang w:val="en-US" w:eastAsia="en-US"/>
        </w:rPr>
        <w:t>19</w:t>
      </w:r>
      <w:r w:rsidR="00903F5B" w:rsidRPr="00A90E5F">
        <w:rPr>
          <w:rFonts w:eastAsiaTheme="majorEastAsia"/>
          <w:iCs/>
          <w:sz w:val="22"/>
          <w:szCs w:val="22"/>
          <w:lang w:val="en-US" w:eastAsia="en-US"/>
        </w:rPr>
        <w:t>-</w:t>
      </w:r>
      <w:r w:rsidRPr="00A90E5F">
        <w:rPr>
          <w:rFonts w:eastAsiaTheme="majorEastAsia"/>
          <w:iCs/>
          <w:sz w:val="22"/>
          <w:szCs w:val="22"/>
          <w:lang w:val="en-US" w:eastAsia="en-US"/>
        </w:rPr>
        <w:t>related issues (4.8%).</w:t>
      </w:r>
    </w:p>
    <w:p w14:paraId="6E49F30F" w14:textId="77777777" w:rsidR="009D09FB" w:rsidRPr="00A90E5F" w:rsidRDefault="009D09F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t>3.2.4. Toxicity and Adverse Events:</w:t>
      </w:r>
    </w:p>
    <w:p w14:paraId="25FE7439" w14:textId="11864F90" w:rsidR="009D09FB" w:rsidRPr="00A90E5F" w:rsidRDefault="009D09FB"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a) Hematological: Grade 1 anemia was most common (56.0%), followed by grade 2 (12.0%). Grade 3</w:t>
      </w:r>
      <w:r w:rsidR="00903F5B" w:rsidRPr="00A90E5F">
        <w:rPr>
          <w:rFonts w:eastAsiaTheme="majorEastAsia"/>
          <w:iCs/>
          <w:sz w:val="22"/>
          <w:szCs w:val="22"/>
          <w:lang w:val="en-US" w:eastAsia="en-US"/>
        </w:rPr>
        <w:t>-</w:t>
      </w:r>
      <w:r w:rsidRPr="00A90E5F">
        <w:rPr>
          <w:rFonts w:eastAsiaTheme="majorEastAsia"/>
          <w:iCs/>
          <w:sz w:val="22"/>
          <w:szCs w:val="22"/>
          <w:lang w:val="en-US" w:eastAsia="en-US"/>
        </w:rPr>
        <w:t>4 anemia was rare (&lt;1.2%). Neutropenia occurred in 41.6% (grade</w:t>
      </w:r>
      <w:r w:rsidR="00903F5B" w:rsidRPr="00A90E5F">
        <w:rPr>
          <w:rFonts w:eastAsiaTheme="majorEastAsia"/>
          <w:iCs/>
          <w:sz w:val="22"/>
          <w:szCs w:val="22"/>
          <w:lang w:val="en-US" w:eastAsia="en-US"/>
        </w:rPr>
        <w:t>s</w:t>
      </w:r>
      <w:r w:rsidRPr="00A90E5F">
        <w:rPr>
          <w:rFonts w:eastAsiaTheme="majorEastAsia"/>
          <w:iCs/>
          <w:sz w:val="22"/>
          <w:szCs w:val="22"/>
          <w:lang w:val="en-US" w:eastAsia="en-US"/>
        </w:rPr>
        <w:t xml:space="preserve"> 1</w:t>
      </w:r>
      <w:r w:rsidR="00903F5B" w:rsidRPr="00A90E5F">
        <w:rPr>
          <w:rFonts w:eastAsiaTheme="majorEastAsia"/>
          <w:iCs/>
          <w:sz w:val="22"/>
          <w:szCs w:val="22"/>
          <w:lang w:val="en-US" w:eastAsia="en-US"/>
        </w:rPr>
        <w:t>-</w:t>
      </w:r>
      <w:r w:rsidRPr="00A90E5F">
        <w:rPr>
          <w:rFonts w:eastAsiaTheme="majorEastAsia"/>
          <w:iCs/>
          <w:sz w:val="22"/>
          <w:szCs w:val="22"/>
          <w:lang w:val="en-US" w:eastAsia="en-US"/>
        </w:rPr>
        <w:t>2) and 6.4% (grade</w:t>
      </w:r>
      <w:r w:rsidR="00903F5B" w:rsidRPr="00A90E5F">
        <w:rPr>
          <w:rFonts w:eastAsiaTheme="majorEastAsia"/>
          <w:iCs/>
          <w:sz w:val="22"/>
          <w:szCs w:val="22"/>
          <w:lang w:val="en-US" w:eastAsia="en-US"/>
        </w:rPr>
        <w:t>s</w:t>
      </w:r>
      <w:r w:rsidRPr="00A90E5F">
        <w:rPr>
          <w:rFonts w:eastAsiaTheme="majorEastAsia"/>
          <w:iCs/>
          <w:sz w:val="22"/>
          <w:szCs w:val="22"/>
          <w:lang w:val="en-US" w:eastAsia="en-US"/>
        </w:rPr>
        <w:t xml:space="preserve"> 3</w:t>
      </w:r>
      <w:r w:rsidR="00903F5B" w:rsidRPr="00A90E5F">
        <w:rPr>
          <w:rFonts w:eastAsiaTheme="majorEastAsia"/>
          <w:iCs/>
          <w:sz w:val="22"/>
          <w:szCs w:val="22"/>
          <w:lang w:val="en-US" w:eastAsia="en-US"/>
        </w:rPr>
        <w:t>-</w:t>
      </w:r>
      <w:r w:rsidRPr="00A90E5F">
        <w:rPr>
          <w:rFonts w:eastAsiaTheme="majorEastAsia"/>
          <w:iCs/>
          <w:sz w:val="22"/>
          <w:szCs w:val="22"/>
          <w:lang w:val="en-US" w:eastAsia="en-US"/>
        </w:rPr>
        <w:t>4). Thrombocytopenia was rare (grade 1: 7.2%, grade 2: 0.4%).</w:t>
      </w:r>
    </w:p>
    <w:p w14:paraId="18A28552" w14:textId="1BAFD19D" w:rsidR="004F37E5" w:rsidRPr="00A90E5F" w:rsidRDefault="009D09FB" w:rsidP="00A90E5F">
      <w:pPr>
        <w:tabs>
          <w:tab w:val="left" w:pos="284"/>
        </w:tabs>
        <w:spacing w:line="340" w:lineRule="exact"/>
        <w:rPr>
          <w:sz w:val="22"/>
          <w:szCs w:val="22"/>
          <w:lang w:val="en-US"/>
        </w:rPr>
      </w:pPr>
      <w:r w:rsidRPr="00A90E5F">
        <w:rPr>
          <w:rFonts w:eastAsiaTheme="majorEastAsia"/>
          <w:iCs/>
          <w:sz w:val="22"/>
          <w:szCs w:val="22"/>
          <w:lang w:val="en-US" w:eastAsia="en-US"/>
        </w:rPr>
        <w:t>b) Hepatic</w:t>
      </w:r>
      <w:r w:rsidR="00903F5B" w:rsidRPr="00A90E5F">
        <w:rPr>
          <w:rFonts w:eastAsiaTheme="majorEastAsia"/>
          <w:iCs/>
          <w:sz w:val="22"/>
          <w:szCs w:val="22"/>
          <w:lang w:val="en-US" w:eastAsia="en-US"/>
        </w:rPr>
        <w:t>-</w:t>
      </w:r>
      <w:r w:rsidRPr="00A90E5F">
        <w:rPr>
          <w:rFonts w:eastAsiaTheme="majorEastAsia"/>
          <w:iCs/>
          <w:sz w:val="22"/>
          <w:szCs w:val="22"/>
          <w:lang w:val="en-US" w:eastAsia="en-US"/>
        </w:rPr>
        <w:t>renal: Elevated SGOT in 39.2% (mostly grade 1), SGPT in 58% (mainly grade 1). Mild creatinine elevation in 1.2%; no acute renal failure. One case of anaphylaxis led to regimen modification.</w:t>
      </w:r>
      <w:r w:rsidR="00A30B8B" w:rsidRPr="00A90E5F">
        <w:rPr>
          <w:sz w:val="22"/>
          <w:szCs w:val="22"/>
        </w:rPr>
        <w:t xml:space="preserve"> </w:t>
      </w:r>
      <w:r w:rsidR="00A30B8B" w:rsidRPr="00A90E5F">
        <w:rPr>
          <w:b/>
          <w:bCs/>
          <w:i/>
          <w:iCs/>
          <w:sz w:val="22"/>
          <w:szCs w:val="22"/>
        </w:rPr>
        <w:t xml:space="preserve">3.2.5. Evaluation of response to </w:t>
      </w:r>
      <w:r w:rsidR="00FB0C01" w:rsidRPr="00A90E5F">
        <w:rPr>
          <w:b/>
          <w:bCs/>
          <w:i/>
          <w:iCs/>
          <w:sz w:val="22"/>
          <w:szCs w:val="22"/>
        </w:rPr>
        <w:t>NACT</w:t>
      </w:r>
    </w:p>
    <w:p w14:paraId="7AB36184" w14:textId="430925CA" w:rsidR="009D09FB" w:rsidRPr="00A90E5F" w:rsidRDefault="00A30B8B" w:rsidP="00A90E5F">
      <w:pPr>
        <w:tabs>
          <w:tab w:val="left" w:pos="284"/>
        </w:tabs>
        <w:spacing w:line="340" w:lineRule="exact"/>
        <w:rPr>
          <w:sz w:val="22"/>
          <w:szCs w:val="22"/>
        </w:rPr>
      </w:pPr>
      <w:r w:rsidRPr="00A90E5F">
        <w:rPr>
          <w:sz w:val="22"/>
          <w:szCs w:val="22"/>
        </w:rPr>
        <w:t xml:space="preserve">3.2.5.1. </w:t>
      </w:r>
      <w:r w:rsidR="009D09FB" w:rsidRPr="00A90E5F">
        <w:rPr>
          <w:sz w:val="22"/>
          <w:szCs w:val="22"/>
        </w:rPr>
        <w:t>Clinical Response:</w:t>
      </w:r>
    </w:p>
    <w:p w14:paraId="761A388E" w14:textId="3641D1D5" w:rsidR="009D09FB" w:rsidRPr="00A90E5F" w:rsidRDefault="00903F5B" w:rsidP="00A90E5F">
      <w:pPr>
        <w:tabs>
          <w:tab w:val="left" w:pos="284"/>
        </w:tabs>
        <w:spacing w:line="340" w:lineRule="exact"/>
        <w:rPr>
          <w:sz w:val="22"/>
          <w:szCs w:val="22"/>
        </w:rPr>
      </w:pPr>
      <w:r w:rsidRPr="00A90E5F">
        <w:rPr>
          <w:sz w:val="22"/>
          <w:szCs w:val="22"/>
        </w:rPr>
        <w:t>-</w:t>
      </w:r>
      <w:r w:rsidR="00A30B8B" w:rsidRPr="00A90E5F">
        <w:rPr>
          <w:sz w:val="22"/>
          <w:szCs w:val="22"/>
        </w:rPr>
        <w:t xml:space="preserve"> </w:t>
      </w:r>
      <w:r w:rsidR="009D09FB" w:rsidRPr="00A90E5F">
        <w:rPr>
          <w:sz w:val="22"/>
          <w:szCs w:val="22"/>
        </w:rPr>
        <w:t>Mean tumor size significantly reduced from 5.22 ± 2.60 cm to 1.63 ± 1.79 cm; lymph node size reduced from 17.30 ± 9.85 mm to 3.77 ± 6.50 mm (Friedman test, p &lt; 0.05).</w:t>
      </w:r>
    </w:p>
    <w:p w14:paraId="683F9AEC" w14:textId="74BFF77C" w:rsidR="009D09FB" w:rsidRPr="00A90E5F" w:rsidRDefault="00903F5B" w:rsidP="00A90E5F">
      <w:pPr>
        <w:tabs>
          <w:tab w:val="left" w:pos="284"/>
        </w:tabs>
        <w:spacing w:line="340" w:lineRule="exact"/>
        <w:rPr>
          <w:sz w:val="22"/>
          <w:szCs w:val="22"/>
        </w:rPr>
      </w:pPr>
      <w:r w:rsidRPr="00A90E5F">
        <w:rPr>
          <w:sz w:val="22"/>
          <w:szCs w:val="22"/>
        </w:rPr>
        <w:t>-</w:t>
      </w:r>
      <w:r w:rsidR="00A30B8B" w:rsidRPr="00A90E5F">
        <w:rPr>
          <w:sz w:val="22"/>
          <w:szCs w:val="22"/>
        </w:rPr>
        <w:t xml:space="preserve"> </w:t>
      </w:r>
      <w:r w:rsidR="009D09FB" w:rsidRPr="00A90E5F">
        <w:rPr>
          <w:sz w:val="22"/>
          <w:szCs w:val="22"/>
        </w:rPr>
        <w:t>According to RECIST 1.1, complete response (cCR) increased from 11 patients mid</w:t>
      </w:r>
      <w:r w:rsidRPr="00A90E5F">
        <w:rPr>
          <w:sz w:val="22"/>
          <w:szCs w:val="22"/>
        </w:rPr>
        <w:t>-</w:t>
      </w:r>
      <w:r w:rsidR="009D09FB" w:rsidRPr="00A90E5F">
        <w:rPr>
          <w:sz w:val="22"/>
          <w:szCs w:val="22"/>
        </w:rPr>
        <w:t>cycle to 47 by the end of chemotherapy. Partial responses and stable disease decreased. Results confirm the effectiveness of neoadjuvant chemotherapy in downstaging tumors and lymph nodes preoperatively.</w:t>
      </w:r>
    </w:p>
    <w:p w14:paraId="5B7DBB07" w14:textId="7138DA87" w:rsidR="009D09FB" w:rsidRPr="00A90E5F" w:rsidRDefault="009D09FB" w:rsidP="00A90E5F">
      <w:pPr>
        <w:tabs>
          <w:tab w:val="left" w:pos="284"/>
        </w:tabs>
        <w:spacing w:line="340" w:lineRule="exact"/>
        <w:rPr>
          <w:b/>
          <w:bCs/>
          <w:sz w:val="22"/>
          <w:szCs w:val="22"/>
        </w:rPr>
      </w:pPr>
      <w:r w:rsidRPr="00A90E5F">
        <w:rPr>
          <w:b/>
          <w:bCs/>
          <w:sz w:val="22"/>
          <w:szCs w:val="22"/>
        </w:rPr>
        <w:t>3.3. Surgical Outcomes</w:t>
      </w:r>
    </w:p>
    <w:p w14:paraId="2C60AA4B" w14:textId="68A6EF19" w:rsidR="009D09FB" w:rsidRPr="00A90E5F" w:rsidRDefault="009D09FB" w:rsidP="00A90E5F">
      <w:pPr>
        <w:tabs>
          <w:tab w:val="left" w:pos="284"/>
        </w:tabs>
        <w:spacing w:line="340" w:lineRule="exact"/>
        <w:rPr>
          <w:sz w:val="22"/>
          <w:szCs w:val="22"/>
        </w:rPr>
      </w:pPr>
      <w:r w:rsidRPr="00A90E5F">
        <w:rPr>
          <w:b/>
          <w:bCs/>
          <w:i/>
          <w:iCs/>
          <w:sz w:val="22"/>
          <w:szCs w:val="22"/>
        </w:rPr>
        <w:t>3.3.1. Operative Duration:</w:t>
      </w:r>
      <w:r w:rsidRPr="00A90E5F">
        <w:rPr>
          <w:sz w:val="22"/>
          <w:szCs w:val="22"/>
        </w:rPr>
        <w:t xml:space="preserve"> Mean surgical time was 96.98 ± 26.61 minutes (range 40</w:t>
      </w:r>
      <w:r w:rsidR="00903F5B" w:rsidRPr="00A90E5F">
        <w:rPr>
          <w:sz w:val="22"/>
          <w:szCs w:val="22"/>
        </w:rPr>
        <w:t>-</w:t>
      </w:r>
      <w:r w:rsidRPr="00A90E5F">
        <w:rPr>
          <w:sz w:val="22"/>
          <w:szCs w:val="22"/>
        </w:rPr>
        <w:t xml:space="preserve">270). MRM alone accounted for 78% (mean 89.7 </w:t>
      </w:r>
      <w:r w:rsidRPr="00A90E5F">
        <w:rPr>
          <w:sz w:val="22"/>
          <w:szCs w:val="22"/>
        </w:rPr>
        <w:lastRenderedPageBreak/>
        <w:t xml:space="preserve">min), MRM + bilateral oophorectomy: 20.8% (mean 114.4 min), </w:t>
      </w:r>
      <w:r w:rsidR="00903F5B" w:rsidRPr="00A90E5F">
        <w:rPr>
          <w:sz w:val="22"/>
          <w:szCs w:val="22"/>
        </w:rPr>
        <w:t xml:space="preserve">and </w:t>
      </w:r>
      <w:r w:rsidRPr="00A90E5F">
        <w:rPr>
          <w:sz w:val="22"/>
          <w:szCs w:val="22"/>
        </w:rPr>
        <w:t>MRM + immediate reconstruction: 1.6% (max 222.5 min).</w:t>
      </w:r>
    </w:p>
    <w:p w14:paraId="0F9C9573" w14:textId="3ACB4C62" w:rsidR="009D09FB" w:rsidRPr="00A90E5F" w:rsidRDefault="009D09FB" w:rsidP="00A90E5F">
      <w:pPr>
        <w:tabs>
          <w:tab w:val="left" w:pos="284"/>
        </w:tabs>
        <w:spacing w:line="340" w:lineRule="exact"/>
        <w:rPr>
          <w:sz w:val="22"/>
          <w:szCs w:val="22"/>
        </w:rPr>
      </w:pPr>
      <w:r w:rsidRPr="00A90E5F">
        <w:rPr>
          <w:b/>
          <w:bCs/>
          <w:i/>
          <w:iCs/>
          <w:sz w:val="22"/>
          <w:szCs w:val="22"/>
        </w:rPr>
        <w:t>3.3.2. Intraoperative Technical Features:</w:t>
      </w:r>
      <w:r w:rsidRPr="00A90E5F">
        <w:rPr>
          <w:sz w:val="22"/>
          <w:szCs w:val="22"/>
        </w:rPr>
        <w:t xml:space="preserve"> Mobile breast tissue in 71.2%, easy dissection in 74%, muscle/fascia involvement in 30%, increased bleeding in 30</w:t>
      </w:r>
      <w:r w:rsidR="00903F5B" w:rsidRPr="00A90E5F">
        <w:rPr>
          <w:sz w:val="22"/>
          <w:szCs w:val="22"/>
        </w:rPr>
        <w:t>-</w:t>
      </w:r>
      <w:r w:rsidRPr="00A90E5F">
        <w:rPr>
          <w:sz w:val="22"/>
          <w:szCs w:val="22"/>
        </w:rPr>
        <w:t>35%. Long thoracic and internal mammary nerves were visualized in 90.4% and 94%, respectively. Perivascular nodal involvement was rare (5.2%). Axillary dissection was complete in 99.6%.</w:t>
      </w:r>
    </w:p>
    <w:p w14:paraId="6BB1C2BF" w14:textId="3C07D870" w:rsidR="009D09FB" w:rsidRPr="00A90E5F" w:rsidRDefault="009D09FB" w:rsidP="00A90E5F">
      <w:pPr>
        <w:tabs>
          <w:tab w:val="left" w:pos="284"/>
        </w:tabs>
        <w:spacing w:line="340" w:lineRule="exact"/>
        <w:rPr>
          <w:b/>
          <w:bCs/>
          <w:i/>
          <w:iCs/>
          <w:sz w:val="22"/>
          <w:szCs w:val="22"/>
        </w:rPr>
      </w:pPr>
      <w:r w:rsidRPr="00A90E5F">
        <w:rPr>
          <w:b/>
          <w:bCs/>
          <w:i/>
          <w:iCs/>
          <w:sz w:val="22"/>
          <w:szCs w:val="22"/>
        </w:rPr>
        <w:t>3.3.3. Quantitative Surgical Parameters:</w:t>
      </w:r>
    </w:p>
    <w:p w14:paraId="2DAC2E78" w14:textId="5CD67BB2"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Mean lymph nodes removed: 11.06 ± 3.46</w:t>
      </w:r>
    </w:p>
    <w:p w14:paraId="509A0699" w14:textId="58FCE2E1"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Largest nodal diameter: 12.5 ± 6.04 mm</w:t>
      </w:r>
    </w:p>
    <w:p w14:paraId="3F25ABDD" w14:textId="14AD566C"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Incision length: 18.18 ± 3.28 cm</w:t>
      </w:r>
    </w:p>
    <w:p w14:paraId="47E54719" w14:textId="1EABA211"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Drainage volume (day 1): 73.9 ± 16.2 mL; mean duration: 4.6 days</w:t>
      </w:r>
    </w:p>
    <w:p w14:paraId="167F5A32" w14:textId="5C0FB138"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Suture removal time: 9.13 days</w:t>
      </w:r>
    </w:p>
    <w:p w14:paraId="48A0A030" w14:textId="5664A071" w:rsidR="009D09FB" w:rsidRPr="00A90E5F" w:rsidRDefault="009D09FB" w:rsidP="00A90E5F">
      <w:pPr>
        <w:tabs>
          <w:tab w:val="left" w:pos="284"/>
        </w:tabs>
        <w:spacing w:line="340" w:lineRule="exact"/>
        <w:rPr>
          <w:sz w:val="22"/>
          <w:szCs w:val="22"/>
        </w:rPr>
      </w:pPr>
      <w:r w:rsidRPr="00A90E5F">
        <w:rPr>
          <w:b/>
          <w:bCs/>
          <w:i/>
          <w:iCs/>
          <w:sz w:val="22"/>
          <w:szCs w:val="22"/>
        </w:rPr>
        <w:t>3.3.4. Postoperative Complications:</w:t>
      </w:r>
      <w:r w:rsidRPr="00A90E5F">
        <w:rPr>
          <w:sz w:val="22"/>
          <w:szCs w:val="22"/>
        </w:rPr>
        <w:t xml:space="preserve"> Low complication rate (5.2%); seroma: 3.2%, arm edema: 0.4%, numbness/mobility restriction: &lt;1%. No major complications (lymphatic leak, infection, flap necrosis).</w:t>
      </w:r>
    </w:p>
    <w:p w14:paraId="0734CDC8" w14:textId="77777777" w:rsidR="00FB0C01" w:rsidRPr="00A90E5F" w:rsidRDefault="009D09FB" w:rsidP="00A90E5F">
      <w:pPr>
        <w:tabs>
          <w:tab w:val="left" w:pos="284"/>
        </w:tabs>
        <w:spacing w:line="340" w:lineRule="exact"/>
        <w:rPr>
          <w:b/>
          <w:bCs/>
          <w:i/>
          <w:iCs/>
          <w:sz w:val="22"/>
          <w:szCs w:val="22"/>
        </w:rPr>
      </w:pPr>
      <w:r w:rsidRPr="00A90E5F">
        <w:rPr>
          <w:b/>
          <w:bCs/>
          <w:i/>
          <w:iCs/>
          <w:sz w:val="22"/>
          <w:szCs w:val="22"/>
        </w:rPr>
        <w:t xml:space="preserve">3.3.5. Edema and Pain: </w:t>
      </w:r>
    </w:p>
    <w:p w14:paraId="6821816A" w14:textId="7A1F8D69" w:rsidR="00FB0C01"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 xml:space="preserve">Mild edema in 83.6%, severe edema in 1.6%. </w:t>
      </w:r>
    </w:p>
    <w:p w14:paraId="7616B8D3" w14:textId="322BEAB6" w:rsidR="009F42B0" w:rsidRPr="00A90E5F" w:rsidRDefault="00FB0C01" w:rsidP="00A90E5F">
      <w:pPr>
        <w:tabs>
          <w:tab w:val="left" w:pos="284"/>
        </w:tabs>
        <w:spacing w:line="340" w:lineRule="exact"/>
        <w:rPr>
          <w:sz w:val="22"/>
          <w:szCs w:val="22"/>
        </w:rPr>
      </w:pPr>
      <w:r w:rsidRPr="00A90E5F">
        <w:rPr>
          <w:sz w:val="22"/>
          <w:szCs w:val="22"/>
        </w:rPr>
        <w:t>- P</w:t>
      </w:r>
      <w:r w:rsidR="009D09FB" w:rsidRPr="00A90E5F">
        <w:rPr>
          <w:sz w:val="22"/>
          <w:szCs w:val="22"/>
        </w:rPr>
        <w:t>ostoperative pain VAS 3</w:t>
      </w:r>
      <w:r w:rsidR="00903F5B" w:rsidRPr="00A90E5F">
        <w:rPr>
          <w:sz w:val="22"/>
          <w:szCs w:val="22"/>
        </w:rPr>
        <w:t>-</w:t>
      </w:r>
      <w:r w:rsidR="009D09FB" w:rsidRPr="00A90E5F">
        <w:rPr>
          <w:sz w:val="22"/>
          <w:szCs w:val="22"/>
        </w:rPr>
        <w:t xml:space="preserve">4: 96%, severe pain VAS </w:t>
      </w:r>
      <w:r w:rsidRPr="00A90E5F">
        <w:rPr>
          <w:sz w:val="22"/>
          <w:szCs w:val="22"/>
        </w:rPr>
        <w:t>5:</w:t>
      </w:r>
      <w:r w:rsidR="009D09FB" w:rsidRPr="00A90E5F">
        <w:rPr>
          <w:sz w:val="22"/>
          <w:szCs w:val="22"/>
        </w:rPr>
        <w:t xml:space="preserve"> 4%.</w:t>
      </w:r>
    </w:p>
    <w:p w14:paraId="70C820A8" w14:textId="1787E2A9" w:rsidR="00A30B8B" w:rsidRPr="00A90E5F" w:rsidRDefault="00A30B8B" w:rsidP="00A90E5F">
      <w:pPr>
        <w:tabs>
          <w:tab w:val="left" w:pos="284"/>
        </w:tabs>
        <w:spacing w:line="340" w:lineRule="exact"/>
        <w:rPr>
          <w:sz w:val="22"/>
          <w:szCs w:val="22"/>
          <w:lang w:val="en-US" w:eastAsia="en-US"/>
        </w:rPr>
      </w:pPr>
      <w:r w:rsidRPr="00A90E5F">
        <w:rPr>
          <w:b/>
          <w:bCs/>
          <w:sz w:val="22"/>
          <w:szCs w:val="22"/>
          <w:lang w:val="en-US" w:eastAsia="en-US"/>
        </w:rPr>
        <w:t>Table 3.</w:t>
      </w:r>
      <w:r w:rsidR="005630D1">
        <w:rPr>
          <w:b/>
          <w:bCs/>
          <w:sz w:val="22"/>
          <w:szCs w:val="22"/>
          <w:lang w:val="en-US" w:eastAsia="en-US"/>
        </w:rPr>
        <w:t>26</w:t>
      </w:r>
      <w:r w:rsidRPr="00A90E5F">
        <w:rPr>
          <w:b/>
          <w:bCs/>
          <w:sz w:val="22"/>
          <w:szCs w:val="22"/>
          <w:lang w:val="en-US" w:eastAsia="en-US"/>
        </w:rPr>
        <w:t>.</w:t>
      </w:r>
      <w:r w:rsidRPr="00A90E5F">
        <w:rPr>
          <w:sz w:val="22"/>
          <w:szCs w:val="22"/>
          <w:lang w:val="en-US" w:eastAsia="en-US"/>
        </w:rPr>
        <w:t xml:space="preserve"> Classification of Postoperative Complications According to the </w:t>
      </w:r>
      <w:proofErr w:type="spellStart"/>
      <w:r w:rsidRPr="00A90E5F">
        <w:rPr>
          <w:sz w:val="22"/>
          <w:szCs w:val="22"/>
          <w:lang w:val="en-US" w:eastAsia="en-US"/>
        </w:rPr>
        <w:t>Clavien</w:t>
      </w:r>
      <w:r w:rsidR="00903F5B" w:rsidRPr="00A90E5F">
        <w:rPr>
          <w:sz w:val="22"/>
          <w:szCs w:val="22"/>
          <w:lang w:val="en-US" w:eastAsia="en-US"/>
        </w:rPr>
        <w:t>-</w:t>
      </w:r>
      <w:r w:rsidRPr="00A90E5F">
        <w:rPr>
          <w:sz w:val="22"/>
          <w:szCs w:val="22"/>
          <w:lang w:val="en-US" w:eastAsia="en-US"/>
        </w:rPr>
        <w:t>Dindo</w:t>
      </w:r>
      <w:proofErr w:type="spellEnd"/>
      <w:r w:rsidRPr="00A90E5F">
        <w:rPr>
          <w:sz w:val="22"/>
          <w:szCs w:val="22"/>
          <w:lang w:val="en-US" w:eastAsia="en-US"/>
        </w:rPr>
        <w:t xml:space="preserve"> System</w:t>
      </w: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94"/>
        <w:gridCol w:w="2751"/>
        <w:gridCol w:w="2249"/>
      </w:tblGrid>
      <w:tr w:rsidR="00A30B8B" w:rsidRPr="00A90E5F" w14:paraId="25FFACF0" w14:textId="77777777" w:rsidTr="00FB0C01">
        <w:tc>
          <w:tcPr>
            <w:tcW w:w="897" w:type="pct"/>
            <w:hideMark/>
          </w:tcPr>
          <w:p w14:paraId="4899CF2E" w14:textId="7777777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Grade</w:t>
            </w:r>
          </w:p>
        </w:tc>
        <w:tc>
          <w:tcPr>
            <w:tcW w:w="2257" w:type="pct"/>
            <w:hideMark/>
          </w:tcPr>
          <w:p w14:paraId="4FAE052E" w14:textId="7777777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Number of Patients</w:t>
            </w:r>
          </w:p>
        </w:tc>
        <w:tc>
          <w:tcPr>
            <w:tcW w:w="1845" w:type="pct"/>
            <w:hideMark/>
          </w:tcPr>
          <w:p w14:paraId="62099E02" w14:textId="57E43F3A"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Percentage</w:t>
            </w:r>
          </w:p>
        </w:tc>
      </w:tr>
      <w:tr w:rsidR="00A30B8B" w:rsidRPr="00A90E5F" w14:paraId="198FD77C" w14:textId="77777777" w:rsidTr="00FB0C01">
        <w:tc>
          <w:tcPr>
            <w:tcW w:w="897" w:type="pct"/>
            <w:hideMark/>
          </w:tcPr>
          <w:p w14:paraId="5C9A307A"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0</w:t>
            </w:r>
          </w:p>
        </w:tc>
        <w:tc>
          <w:tcPr>
            <w:tcW w:w="2257" w:type="pct"/>
            <w:hideMark/>
          </w:tcPr>
          <w:p w14:paraId="2242A87D"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193</w:t>
            </w:r>
          </w:p>
        </w:tc>
        <w:tc>
          <w:tcPr>
            <w:tcW w:w="1845" w:type="pct"/>
            <w:hideMark/>
          </w:tcPr>
          <w:p w14:paraId="72469A06"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77.20</w:t>
            </w:r>
          </w:p>
        </w:tc>
      </w:tr>
      <w:tr w:rsidR="00A30B8B" w:rsidRPr="00A90E5F" w14:paraId="7FD59C7A" w14:textId="77777777" w:rsidTr="00FB0C01">
        <w:tc>
          <w:tcPr>
            <w:tcW w:w="897" w:type="pct"/>
            <w:hideMark/>
          </w:tcPr>
          <w:p w14:paraId="3E4A7AE7"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I</w:t>
            </w:r>
          </w:p>
        </w:tc>
        <w:tc>
          <w:tcPr>
            <w:tcW w:w="2257" w:type="pct"/>
            <w:hideMark/>
          </w:tcPr>
          <w:p w14:paraId="4A59B500"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46</w:t>
            </w:r>
          </w:p>
        </w:tc>
        <w:tc>
          <w:tcPr>
            <w:tcW w:w="1845" w:type="pct"/>
            <w:hideMark/>
          </w:tcPr>
          <w:p w14:paraId="6E81ACF8"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18.40</w:t>
            </w:r>
          </w:p>
        </w:tc>
      </w:tr>
      <w:tr w:rsidR="00A30B8B" w:rsidRPr="00A90E5F" w14:paraId="0D21DB4D" w14:textId="77777777" w:rsidTr="00FB0C01">
        <w:tc>
          <w:tcPr>
            <w:tcW w:w="897" w:type="pct"/>
            <w:hideMark/>
          </w:tcPr>
          <w:p w14:paraId="40E0F439"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II</w:t>
            </w:r>
          </w:p>
        </w:tc>
        <w:tc>
          <w:tcPr>
            <w:tcW w:w="2257" w:type="pct"/>
            <w:hideMark/>
          </w:tcPr>
          <w:p w14:paraId="11060AF2"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11</w:t>
            </w:r>
          </w:p>
        </w:tc>
        <w:tc>
          <w:tcPr>
            <w:tcW w:w="1845" w:type="pct"/>
            <w:hideMark/>
          </w:tcPr>
          <w:p w14:paraId="2FDEB065"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4.40</w:t>
            </w:r>
          </w:p>
        </w:tc>
      </w:tr>
    </w:tbl>
    <w:p w14:paraId="0FE5035F" w14:textId="4FFB78DD" w:rsidR="00A30B8B" w:rsidRPr="00A90E5F" w:rsidRDefault="00A30B8B" w:rsidP="00A90E5F">
      <w:pPr>
        <w:tabs>
          <w:tab w:val="left" w:pos="284"/>
        </w:tabs>
        <w:spacing w:line="340" w:lineRule="exact"/>
        <w:rPr>
          <w:rStyle w:val="Strong"/>
          <w:sz w:val="22"/>
          <w:szCs w:val="22"/>
        </w:rPr>
      </w:pPr>
      <w:r w:rsidRPr="00A90E5F">
        <w:rPr>
          <w:rStyle w:val="Strong"/>
          <w:sz w:val="22"/>
          <w:szCs w:val="22"/>
        </w:rPr>
        <w:lastRenderedPageBreak/>
        <w:t>3.4. Post</w:t>
      </w:r>
      <w:r w:rsidR="00903F5B" w:rsidRPr="00A90E5F">
        <w:rPr>
          <w:rStyle w:val="Strong"/>
          <w:sz w:val="22"/>
          <w:szCs w:val="22"/>
        </w:rPr>
        <w:t>-</w:t>
      </w:r>
      <w:r w:rsidRPr="00A90E5F">
        <w:rPr>
          <w:rStyle w:val="Strong"/>
          <w:sz w:val="22"/>
          <w:szCs w:val="22"/>
        </w:rPr>
        <w:t>Treatment Pathology</w:t>
      </w:r>
    </w:p>
    <w:p w14:paraId="23A1D285" w14:textId="0E954782" w:rsidR="009D09FB" w:rsidRPr="00A90E5F" w:rsidRDefault="009D09FB" w:rsidP="00A90E5F">
      <w:pPr>
        <w:tabs>
          <w:tab w:val="left" w:pos="284"/>
        </w:tabs>
        <w:spacing w:line="340" w:lineRule="exact"/>
        <w:rPr>
          <w:i/>
          <w:iCs/>
          <w:sz w:val="22"/>
          <w:szCs w:val="22"/>
        </w:rPr>
      </w:pPr>
      <w:r w:rsidRPr="00A90E5F">
        <w:rPr>
          <w:rStyle w:val="Strong"/>
          <w:i/>
          <w:iCs/>
          <w:sz w:val="22"/>
          <w:szCs w:val="22"/>
        </w:rPr>
        <w:t>3.4.1. Tumor Characteristics:</w:t>
      </w:r>
    </w:p>
    <w:p w14:paraId="1215EFFE" w14:textId="03008316" w:rsidR="009D09FB" w:rsidRPr="004066A1" w:rsidRDefault="00903F5B" w:rsidP="00A90E5F">
      <w:pPr>
        <w:tabs>
          <w:tab w:val="left" w:pos="284"/>
        </w:tabs>
        <w:spacing w:line="340" w:lineRule="exact"/>
        <w:rPr>
          <w:spacing w:val="-2"/>
          <w:sz w:val="22"/>
          <w:szCs w:val="22"/>
        </w:rPr>
      </w:pPr>
      <w:r w:rsidRPr="004066A1">
        <w:rPr>
          <w:spacing w:val="-2"/>
          <w:sz w:val="22"/>
          <w:szCs w:val="22"/>
        </w:rPr>
        <w:t>-</w:t>
      </w:r>
      <w:r w:rsidR="00FB0C01" w:rsidRPr="004066A1">
        <w:rPr>
          <w:spacing w:val="-2"/>
          <w:sz w:val="22"/>
          <w:szCs w:val="22"/>
        </w:rPr>
        <w:t xml:space="preserve"> </w:t>
      </w:r>
      <w:r w:rsidR="009D09FB" w:rsidRPr="004066A1">
        <w:rPr>
          <w:spacing w:val="-2"/>
          <w:sz w:val="22"/>
          <w:szCs w:val="22"/>
        </w:rPr>
        <w:t>Macroscopic: Residual tumor visible in 65.2%. Firm consistency: 60.74%; fibrotic: 15.34%; necrotic foci: 2.45%; cystic degeneration: 1.23%.</w:t>
      </w:r>
    </w:p>
    <w:p w14:paraId="6EA4952C" w14:textId="45B1951F" w:rsidR="009D09FB" w:rsidRPr="00A90E5F" w:rsidRDefault="00903F5B" w:rsidP="00A90E5F">
      <w:pPr>
        <w:tabs>
          <w:tab w:val="left" w:pos="284"/>
        </w:tabs>
        <w:spacing w:line="340" w:lineRule="exact"/>
        <w:rPr>
          <w:sz w:val="22"/>
          <w:szCs w:val="22"/>
        </w:rPr>
      </w:pPr>
      <w:r w:rsidRPr="00A90E5F">
        <w:rPr>
          <w:sz w:val="22"/>
          <w:szCs w:val="22"/>
        </w:rPr>
        <w:t>-</w:t>
      </w:r>
      <w:r w:rsidR="00FB0C01" w:rsidRPr="00A90E5F">
        <w:rPr>
          <w:sz w:val="22"/>
          <w:szCs w:val="22"/>
        </w:rPr>
        <w:t xml:space="preserve"> </w:t>
      </w:r>
      <w:r w:rsidR="009D09FB" w:rsidRPr="00A90E5F">
        <w:rPr>
          <w:sz w:val="22"/>
          <w:szCs w:val="22"/>
        </w:rPr>
        <w:t>Microscopic: Pathological complete response (pCR) in 22% (55 patients); DCIS in 6.8%. NST: 66.8%; rare types included mucinous (1.6%), metaplastic (1.6%), invasive lobular (0.8%), and invasive ductal special type (0.4%). One case had complete necrosis/abscess preventing evaluation.</w:t>
      </w:r>
    </w:p>
    <w:p w14:paraId="3AFBB823" w14:textId="77777777" w:rsidR="009D09FB" w:rsidRPr="00A90E5F" w:rsidRDefault="009D09FB" w:rsidP="00A90E5F">
      <w:pPr>
        <w:tabs>
          <w:tab w:val="left" w:pos="284"/>
        </w:tabs>
        <w:spacing w:line="340" w:lineRule="exact"/>
        <w:rPr>
          <w:sz w:val="22"/>
          <w:szCs w:val="22"/>
        </w:rPr>
      </w:pPr>
      <w:r w:rsidRPr="00A90E5F">
        <w:rPr>
          <w:rStyle w:val="Strong"/>
          <w:sz w:val="22"/>
          <w:szCs w:val="22"/>
        </w:rPr>
        <w:t>3.4.2. Nodal Features:</w:t>
      </w:r>
    </w:p>
    <w:p w14:paraId="1E8BD1A4" w14:textId="69682587" w:rsidR="00A30B8B" w:rsidRPr="00A90E5F" w:rsidRDefault="00A30B8B" w:rsidP="00A90E5F">
      <w:pPr>
        <w:tabs>
          <w:tab w:val="left" w:pos="284"/>
        </w:tabs>
        <w:spacing w:line="340" w:lineRule="exact"/>
        <w:rPr>
          <w:sz w:val="22"/>
          <w:szCs w:val="22"/>
          <w:lang w:val="en-US" w:eastAsia="en-US"/>
        </w:rPr>
      </w:pPr>
      <w:r w:rsidRPr="00A90E5F">
        <w:rPr>
          <w:b/>
          <w:bCs/>
          <w:sz w:val="22"/>
          <w:szCs w:val="22"/>
          <w:lang w:val="en-US" w:eastAsia="en-US"/>
        </w:rPr>
        <w:t>Table 3.</w:t>
      </w:r>
      <w:r w:rsidR="005630D1">
        <w:rPr>
          <w:b/>
          <w:bCs/>
          <w:sz w:val="22"/>
          <w:szCs w:val="22"/>
          <w:lang w:val="en-US" w:eastAsia="en-US"/>
        </w:rPr>
        <w:t>29</w:t>
      </w:r>
      <w:r w:rsidRPr="00A90E5F">
        <w:rPr>
          <w:b/>
          <w:bCs/>
          <w:sz w:val="22"/>
          <w:szCs w:val="22"/>
          <w:lang w:val="en-US" w:eastAsia="en-US"/>
        </w:rPr>
        <w:t>.</w:t>
      </w:r>
      <w:r w:rsidRPr="00A90E5F">
        <w:rPr>
          <w:sz w:val="22"/>
          <w:szCs w:val="22"/>
          <w:lang w:val="en-US" w:eastAsia="en-US"/>
        </w:rPr>
        <w:t xml:space="preserve"> Characteristics of Lymph Nodes on Histopathological Examination</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95"/>
        <w:gridCol w:w="608"/>
        <w:gridCol w:w="1654"/>
        <w:gridCol w:w="1437"/>
      </w:tblGrid>
      <w:tr w:rsidR="00A30B8B" w:rsidRPr="00A90E5F" w14:paraId="78A65831" w14:textId="77777777" w:rsidTr="00FB0C01">
        <w:tc>
          <w:tcPr>
            <w:tcW w:w="2405" w:type="dxa"/>
            <w:hideMark/>
          </w:tcPr>
          <w:p w14:paraId="74F63C98" w14:textId="7777777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Parameter</w:t>
            </w:r>
          </w:p>
        </w:tc>
        <w:tc>
          <w:tcPr>
            <w:tcW w:w="608" w:type="dxa"/>
            <w:hideMark/>
          </w:tcPr>
          <w:p w14:paraId="257F8004" w14:textId="7777777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n</w:t>
            </w:r>
          </w:p>
        </w:tc>
        <w:tc>
          <w:tcPr>
            <w:tcW w:w="1660" w:type="dxa"/>
            <w:hideMark/>
          </w:tcPr>
          <w:p w14:paraId="275EE967" w14:textId="7777777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Mean ± SD</w:t>
            </w:r>
          </w:p>
        </w:tc>
        <w:tc>
          <w:tcPr>
            <w:tcW w:w="1441" w:type="dxa"/>
            <w:hideMark/>
          </w:tcPr>
          <w:p w14:paraId="04EEEE11" w14:textId="77777777" w:rsidR="00FB0C01"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 xml:space="preserve">Median </w:t>
            </w:r>
          </w:p>
          <w:p w14:paraId="7F2CE6FC" w14:textId="48B28D98"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(Q1</w:t>
            </w:r>
            <w:r w:rsidR="00903F5B" w:rsidRPr="00A90E5F">
              <w:rPr>
                <w:b/>
                <w:bCs/>
                <w:sz w:val="22"/>
                <w:szCs w:val="22"/>
                <w:lang w:val="en-US" w:eastAsia="en-US"/>
              </w:rPr>
              <w:t>-</w:t>
            </w:r>
            <w:r w:rsidRPr="00A90E5F">
              <w:rPr>
                <w:b/>
                <w:bCs/>
                <w:sz w:val="22"/>
                <w:szCs w:val="22"/>
                <w:lang w:val="en-US" w:eastAsia="en-US"/>
              </w:rPr>
              <w:t>Q3)</w:t>
            </w:r>
          </w:p>
        </w:tc>
      </w:tr>
      <w:tr w:rsidR="00A30B8B" w:rsidRPr="00A90E5F" w14:paraId="60264547" w14:textId="77777777" w:rsidTr="00FB0C01">
        <w:tc>
          <w:tcPr>
            <w:tcW w:w="2405" w:type="dxa"/>
            <w:hideMark/>
          </w:tcPr>
          <w:p w14:paraId="20923961" w14:textId="450B129F" w:rsidR="00A30B8B"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L</w:t>
            </w:r>
            <w:r w:rsidR="00A30B8B" w:rsidRPr="00A90E5F">
              <w:rPr>
                <w:sz w:val="22"/>
                <w:szCs w:val="22"/>
                <w:lang w:val="en-US" w:eastAsia="en-US"/>
              </w:rPr>
              <w:t>ymph nodes retrieved</w:t>
            </w:r>
          </w:p>
        </w:tc>
        <w:tc>
          <w:tcPr>
            <w:tcW w:w="608" w:type="dxa"/>
            <w:hideMark/>
          </w:tcPr>
          <w:p w14:paraId="24AFEF2B"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250</w:t>
            </w:r>
          </w:p>
        </w:tc>
        <w:tc>
          <w:tcPr>
            <w:tcW w:w="1660" w:type="dxa"/>
            <w:hideMark/>
          </w:tcPr>
          <w:p w14:paraId="0C770F8E"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10.94 ± 4.23 (nodes)</w:t>
            </w:r>
          </w:p>
        </w:tc>
        <w:tc>
          <w:tcPr>
            <w:tcW w:w="1441" w:type="dxa"/>
            <w:hideMark/>
          </w:tcPr>
          <w:p w14:paraId="4E9C6046" w14:textId="2D116F49"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10.0 (7</w:t>
            </w:r>
            <w:r w:rsidR="00903F5B" w:rsidRPr="00A90E5F">
              <w:rPr>
                <w:sz w:val="22"/>
                <w:szCs w:val="22"/>
                <w:lang w:val="en-US" w:eastAsia="en-US"/>
              </w:rPr>
              <w:t>-</w:t>
            </w:r>
            <w:r w:rsidRPr="00A90E5F">
              <w:rPr>
                <w:sz w:val="22"/>
                <w:szCs w:val="22"/>
                <w:lang w:val="en-US" w:eastAsia="en-US"/>
              </w:rPr>
              <w:t>12)</w:t>
            </w:r>
          </w:p>
        </w:tc>
      </w:tr>
      <w:tr w:rsidR="00A30B8B" w:rsidRPr="00A90E5F" w14:paraId="69ECAB63" w14:textId="77777777" w:rsidTr="00FB0C01">
        <w:tc>
          <w:tcPr>
            <w:tcW w:w="2405" w:type="dxa"/>
            <w:hideMark/>
          </w:tcPr>
          <w:p w14:paraId="373CAB8E" w14:textId="24780E63" w:rsidR="00A30B8B"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M</w:t>
            </w:r>
            <w:r w:rsidR="00A30B8B" w:rsidRPr="00A90E5F">
              <w:rPr>
                <w:sz w:val="22"/>
                <w:szCs w:val="22"/>
                <w:lang w:val="en-US" w:eastAsia="en-US"/>
              </w:rPr>
              <w:t>etastatic nodes</w:t>
            </w:r>
          </w:p>
        </w:tc>
        <w:tc>
          <w:tcPr>
            <w:tcW w:w="608" w:type="dxa"/>
            <w:hideMark/>
          </w:tcPr>
          <w:p w14:paraId="2D8E3C9B"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118</w:t>
            </w:r>
          </w:p>
        </w:tc>
        <w:tc>
          <w:tcPr>
            <w:tcW w:w="1660" w:type="dxa"/>
            <w:hideMark/>
          </w:tcPr>
          <w:p w14:paraId="44B7CDDD"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3.98 ± 3.01 (nodes)</w:t>
            </w:r>
          </w:p>
        </w:tc>
        <w:tc>
          <w:tcPr>
            <w:tcW w:w="1441" w:type="dxa"/>
            <w:hideMark/>
          </w:tcPr>
          <w:p w14:paraId="5A618308" w14:textId="0CAECBFC"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3.0 (2</w:t>
            </w:r>
            <w:r w:rsidR="00903F5B" w:rsidRPr="00A90E5F">
              <w:rPr>
                <w:sz w:val="22"/>
                <w:szCs w:val="22"/>
                <w:lang w:val="en-US" w:eastAsia="en-US"/>
              </w:rPr>
              <w:t>-</w:t>
            </w:r>
            <w:r w:rsidRPr="00A90E5F">
              <w:rPr>
                <w:sz w:val="22"/>
                <w:szCs w:val="22"/>
                <w:lang w:val="en-US" w:eastAsia="en-US"/>
              </w:rPr>
              <w:t>5)</w:t>
            </w:r>
          </w:p>
        </w:tc>
      </w:tr>
      <w:tr w:rsidR="00A30B8B" w:rsidRPr="00A90E5F" w14:paraId="59407949" w14:textId="77777777" w:rsidTr="00FB0C01">
        <w:tc>
          <w:tcPr>
            <w:tcW w:w="2405" w:type="dxa"/>
            <w:hideMark/>
          </w:tcPr>
          <w:p w14:paraId="3777DADE"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Size of metastatic nodes</w:t>
            </w:r>
          </w:p>
        </w:tc>
        <w:tc>
          <w:tcPr>
            <w:tcW w:w="608" w:type="dxa"/>
            <w:hideMark/>
          </w:tcPr>
          <w:p w14:paraId="0C1451B1"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118</w:t>
            </w:r>
          </w:p>
        </w:tc>
        <w:tc>
          <w:tcPr>
            <w:tcW w:w="1660" w:type="dxa"/>
            <w:hideMark/>
          </w:tcPr>
          <w:p w14:paraId="028E9B04"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13.51 ± 7.11 (mm)</w:t>
            </w:r>
          </w:p>
        </w:tc>
        <w:tc>
          <w:tcPr>
            <w:tcW w:w="1441" w:type="dxa"/>
            <w:hideMark/>
          </w:tcPr>
          <w:p w14:paraId="33DDA645" w14:textId="7345920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11.50 (10</w:t>
            </w:r>
            <w:r w:rsidR="00903F5B" w:rsidRPr="00A90E5F">
              <w:rPr>
                <w:sz w:val="22"/>
                <w:szCs w:val="22"/>
                <w:lang w:val="en-US" w:eastAsia="en-US"/>
              </w:rPr>
              <w:t>-</w:t>
            </w:r>
            <w:r w:rsidRPr="00A90E5F">
              <w:rPr>
                <w:sz w:val="22"/>
                <w:szCs w:val="22"/>
                <w:lang w:val="en-US" w:eastAsia="en-US"/>
              </w:rPr>
              <w:t>15)</w:t>
            </w:r>
          </w:p>
        </w:tc>
      </w:tr>
    </w:tbl>
    <w:p w14:paraId="73D957EB" w14:textId="77777777" w:rsidR="009D09FB" w:rsidRPr="00A90E5F" w:rsidRDefault="009D09FB" w:rsidP="00A90E5F">
      <w:pPr>
        <w:tabs>
          <w:tab w:val="left" w:pos="284"/>
        </w:tabs>
        <w:spacing w:line="340" w:lineRule="exact"/>
        <w:rPr>
          <w:i/>
          <w:iCs/>
          <w:sz w:val="22"/>
          <w:szCs w:val="22"/>
        </w:rPr>
      </w:pPr>
      <w:r w:rsidRPr="00A90E5F">
        <w:rPr>
          <w:rStyle w:val="Strong"/>
          <w:i/>
          <w:iCs/>
          <w:sz w:val="22"/>
          <w:szCs w:val="22"/>
        </w:rPr>
        <w:t>3.4.3. ypTNM Staging:</w:t>
      </w:r>
    </w:p>
    <w:p w14:paraId="740ED51E" w14:textId="4588701F"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ypT stage: ypT0 (22%), ypT1 (27.6%), ypT2 (32.4%), ypT3 (6.4%), ypT4 (4.8%)</w:t>
      </w:r>
    </w:p>
    <w:p w14:paraId="7812DEC0" w14:textId="6CD0A1B5" w:rsidR="009D09FB" w:rsidRPr="00A90E5F" w:rsidRDefault="00FB0C01" w:rsidP="00A90E5F">
      <w:pPr>
        <w:tabs>
          <w:tab w:val="left" w:pos="284"/>
        </w:tabs>
        <w:spacing w:line="340" w:lineRule="exact"/>
        <w:rPr>
          <w:sz w:val="22"/>
          <w:szCs w:val="22"/>
        </w:rPr>
      </w:pPr>
      <w:r w:rsidRPr="00A90E5F">
        <w:rPr>
          <w:sz w:val="22"/>
          <w:szCs w:val="22"/>
        </w:rPr>
        <w:t xml:space="preserve">- </w:t>
      </w:r>
      <w:r w:rsidR="009D09FB" w:rsidRPr="00A90E5F">
        <w:rPr>
          <w:sz w:val="22"/>
          <w:szCs w:val="22"/>
        </w:rPr>
        <w:t>ypN stage: ypN0 (52.8%), ypN1 (8.8%), ypN2 (26.8%), ypN3 (11.6%)</w:t>
      </w:r>
    </w:p>
    <w:p w14:paraId="06F85986" w14:textId="0312D471" w:rsidR="009D09FB" w:rsidRPr="00A90E5F" w:rsidRDefault="00FB0C01" w:rsidP="00A90E5F">
      <w:pPr>
        <w:tabs>
          <w:tab w:val="left" w:pos="284"/>
        </w:tabs>
        <w:spacing w:line="340" w:lineRule="exact"/>
        <w:rPr>
          <w:sz w:val="22"/>
          <w:szCs w:val="22"/>
        </w:rPr>
      </w:pPr>
      <w:r w:rsidRPr="00A90E5F">
        <w:rPr>
          <w:sz w:val="22"/>
          <w:szCs w:val="22"/>
        </w:rPr>
        <w:lastRenderedPageBreak/>
        <w:t xml:space="preserve">- </w:t>
      </w:r>
      <w:r w:rsidR="009D09FB" w:rsidRPr="00A90E5F">
        <w:rPr>
          <w:sz w:val="22"/>
          <w:szCs w:val="22"/>
        </w:rPr>
        <w:t>Combined ypTNM: Stage 0: 24.4%; Stage I: 13.6%; IIA: 6.8%; IIB: 5.2%; Stage IIIA: 24.4%; IIIB: 4.0%; IIIC: 11.6%</w:t>
      </w:r>
    </w:p>
    <w:p w14:paraId="008F2135" w14:textId="20A43FB0" w:rsidR="009D09FB" w:rsidRPr="00A90E5F" w:rsidRDefault="009D09FB" w:rsidP="00A90E5F">
      <w:pPr>
        <w:tabs>
          <w:tab w:val="left" w:pos="284"/>
        </w:tabs>
        <w:spacing w:line="340" w:lineRule="exact"/>
        <w:rPr>
          <w:rStyle w:val="Strong"/>
          <w:sz w:val="22"/>
          <w:szCs w:val="22"/>
        </w:rPr>
      </w:pPr>
      <w:r w:rsidRPr="00A90E5F">
        <w:rPr>
          <w:rStyle w:val="Strong"/>
          <w:sz w:val="22"/>
          <w:szCs w:val="22"/>
        </w:rPr>
        <w:t>3.4.4. Pathological Response (Chevallier):</w:t>
      </w:r>
    </w:p>
    <w:p w14:paraId="4F05947B" w14:textId="628ED1CE" w:rsidR="00A30B8B" w:rsidRPr="00A90E5F" w:rsidRDefault="00A30B8B" w:rsidP="00A90E5F">
      <w:pPr>
        <w:tabs>
          <w:tab w:val="left" w:pos="284"/>
        </w:tabs>
        <w:spacing w:line="340" w:lineRule="exact"/>
        <w:rPr>
          <w:sz w:val="22"/>
          <w:szCs w:val="22"/>
          <w:lang w:val="en-US" w:eastAsia="en-US"/>
        </w:rPr>
      </w:pPr>
      <w:r w:rsidRPr="00A90E5F">
        <w:rPr>
          <w:b/>
          <w:bCs/>
          <w:sz w:val="22"/>
          <w:szCs w:val="22"/>
          <w:lang w:val="en-US" w:eastAsia="en-US"/>
        </w:rPr>
        <w:t>Table 3.</w:t>
      </w:r>
      <w:r w:rsidR="005630D1">
        <w:rPr>
          <w:b/>
          <w:bCs/>
          <w:sz w:val="22"/>
          <w:szCs w:val="22"/>
          <w:lang w:val="en-US" w:eastAsia="en-US"/>
        </w:rPr>
        <w:t>31</w:t>
      </w:r>
      <w:r w:rsidRPr="00A90E5F">
        <w:rPr>
          <w:b/>
          <w:bCs/>
          <w:sz w:val="22"/>
          <w:szCs w:val="22"/>
          <w:lang w:val="en-US" w:eastAsia="en-US"/>
        </w:rPr>
        <w:t xml:space="preserve">. </w:t>
      </w:r>
      <w:r w:rsidRPr="00A90E5F">
        <w:rPr>
          <w:sz w:val="22"/>
          <w:szCs w:val="22"/>
          <w:lang w:val="en-US" w:eastAsia="en-US"/>
        </w:rPr>
        <w:t xml:space="preserve">Treatment Response According to the </w:t>
      </w:r>
      <w:proofErr w:type="spellStart"/>
      <w:r w:rsidRPr="00A90E5F">
        <w:rPr>
          <w:sz w:val="22"/>
          <w:szCs w:val="22"/>
          <w:lang w:val="en-US" w:eastAsia="en-US"/>
        </w:rPr>
        <w:t>Chevallier</w:t>
      </w:r>
      <w:proofErr w:type="spellEnd"/>
      <w:r w:rsidRPr="00A90E5F">
        <w:rPr>
          <w:sz w:val="22"/>
          <w:szCs w:val="22"/>
          <w:lang w:val="en-US" w:eastAsia="en-US"/>
        </w:rPr>
        <w:t xml:space="preserve"> Classification</w:t>
      </w: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27"/>
        <w:gridCol w:w="1310"/>
        <w:gridCol w:w="2183"/>
        <w:gridCol w:w="1374"/>
      </w:tblGrid>
      <w:tr w:rsidR="00A30B8B" w:rsidRPr="00A90E5F" w14:paraId="54382CB5" w14:textId="77777777" w:rsidTr="00FB0C01">
        <w:tc>
          <w:tcPr>
            <w:tcW w:w="2082" w:type="pct"/>
            <w:gridSpan w:val="2"/>
          </w:tcPr>
          <w:p w14:paraId="241E1F2F" w14:textId="2AD12461"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Response</w:t>
            </w:r>
          </w:p>
        </w:tc>
        <w:tc>
          <w:tcPr>
            <w:tcW w:w="1791" w:type="pct"/>
            <w:hideMark/>
          </w:tcPr>
          <w:p w14:paraId="329F0227" w14:textId="7777777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Number of Patients</w:t>
            </w:r>
          </w:p>
        </w:tc>
        <w:tc>
          <w:tcPr>
            <w:tcW w:w="1127" w:type="pct"/>
            <w:hideMark/>
          </w:tcPr>
          <w:p w14:paraId="19224EDD" w14:textId="73145EE7" w:rsidR="00A30B8B" w:rsidRPr="00A90E5F" w:rsidRDefault="00A30B8B" w:rsidP="00A90E5F">
            <w:pPr>
              <w:tabs>
                <w:tab w:val="left" w:pos="284"/>
              </w:tabs>
              <w:spacing w:line="340" w:lineRule="exact"/>
              <w:rPr>
                <w:b/>
                <w:bCs/>
                <w:sz w:val="22"/>
                <w:szCs w:val="22"/>
                <w:lang w:val="en-US" w:eastAsia="en-US"/>
              </w:rPr>
            </w:pPr>
            <w:r w:rsidRPr="00A90E5F">
              <w:rPr>
                <w:b/>
                <w:bCs/>
                <w:sz w:val="22"/>
                <w:szCs w:val="22"/>
                <w:lang w:val="en-US" w:eastAsia="en-US"/>
              </w:rPr>
              <w:t>Percentage</w:t>
            </w:r>
          </w:p>
        </w:tc>
      </w:tr>
      <w:tr w:rsidR="00A30B8B" w:rsidRPr="00A90E5F" w14:paraId="7EA68CB7" w14:textId="77777777" w:rsidTr="00FB0C01">
        <w:tc>
          <w:tcPr>
            <w:tcW w:w="1007" w:type="pct"/>
            <w:vMerge w:val="restart"/>
          </w:tcPr>
          <w:p w14:paraId="3B652AD8" w14:textId="493AE76B" w:rsidR="00A30B8B" w:rsidRPr="00A90E5F" w:rsidRDefault="00A30B8B" w:rsidP="00A90E5F">
            <w:pPr>
              <w:tabs>
                <w:tab w:val="left" w:pos="284"/>
              </w:tabs>
              <w:spacing w:line="340" w:lineRule="exact"/>
              <w:rPr>
                <w:sz w:val="22"/>
                <w:szCs w:val="22"/>
                <w:lang w:val="en-US" w:eastAsia="en-US"/>
              </w:rPr>
            </w:pPr>
            <w:proofErr w:type="spellStart"/>
            <w:r w:rsidRPr="00A90E5F">
              <w:rPr>
                <w:b/>
                <w:bCs/>
                <w:sz w:val="22"/>
                <w:szCs w:val="22"/>
                <w:lang w:val="en-US" w:eastAsia="en-US"/>
              </w:rPr>
              <w:t>pCR</w:t>
            </w:r>
            <w:proofErr w:type="spellEnd"/>
          </w:p>
        </w:tc>
        <w:tc>
          <w:tcPr>
            <w:tcW w:w="1075" w:type="pct"/>
            <w:hideMark/>
          </w:tcPr>
          <w:p w14:paraId="4673385B" w14:textId="50E8CB08"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 </w:t>
            </w:r>
            <w:r w:rsidRPr="00A90E5F">
              <w:rPr>
                <w:sz w:val="22"/>
                <w:szCs w:val="22"/>
                <w:lang w:val="en-US" w:eastAsia="en-US"/>
              </w:rPr>
              <w:t>Grade 1</w:t>
            </w:r>
          </w:p>
        </w:tc>
        <w:tc>
          <w:tcPr>
            <w:tcW w:w="1791" w:type="pct"/>
            <w:hideMark/>
          </w:tcPr>
          <w:p w14:paraId="4D45E47B"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46</w:t>
            </w:r>
          </w:p>
        </w:tc>
        <w:tc>
          <w:tcPr>
            <w:tcW w:w="1127" w:type="pct"/>
            <w:hideMark/>
          </w:tcPr>
          <w:p w14:paraId="0D5B3255"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18.40</w:t>
            </w:r>
          </w:p>
        </w:tc>
      </w:tr>
      <w:tr w:rsidR="00A30B8B" w:rsidRPr="00A90E5F" w14:paraId="58F9D2D5" w14:textId="77777777" w:rsidTr="00FB0C01">
        <w:tc>
          <w:tcPr>
            <w:tcW w:w="1007" w:type="pct"/>
            <w:vMerge/>
          </w:tcPr>
          <w:p w14:paraId="5AAA6A55" w14:textId="77777777" w:rsidR="00A30B8B" w:rsidRPr="00A90E5F" w:rsidRDefault="00A30B8B" w:rsidP="00A90E5F">
            <w:pPr>
              <w:tabs>
                <w:tab w:val="left" w:pos="284"/>
              </w:tabs>
              <w:spacing w:line="340" w:lineRule="exact"/>
              <w:rPr>
                <w:sz w:val="22"/>
                <w:szCs w:val="22"/>
                <w:lang w:val="en-US" w:eastAsia="en-US"/>
              </w:rPr>
            </w:pPr>
          </w:p>
        </w:tc>
        <w:tc>
          <w:tcPr>
            <w:tcW w:w="1075" w:type="pct"/>
            <w:hideMark/>
          </w:tcPr>
          <w:p w14:paraId="56713E44" w14:textId="5D9E3C79"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 </w:t>
            </w:r>
            <w:r w:rsidRPr="00A90E5F">
              <w:rPr>
                <w:sz w:val="22"/>
                <w:szCs w:val="22"/>
                <w:lang w:val="en-US" w:eastAsia="en-US"/>
              </w:rPr>
              <w:t>Grade 2</w:t>
            </w:r>
          </w:p>
        </w:tc>
        <w:tc>
          <w:tcPr>
            <w:tcW w:w="1791" w:type="pct"/>
            <w:hideMark/>
          </w:tcPr>
          <w:p w14:paraId="516EA539"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15</w:t>
            </w:r>
          </w:p>
        </w:tc>
        <w:tc>
          <w:tcPr>
            <w:tcW w:w="1127" w:type="pct"/>
            <w:hideMark/>
          </w:tcPr>
          <w:p w14:paraId="1CC5527A"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6.00</w:t>
            </w:r>
          </w:p>
        </w:tc>
      </w:tr>
      <w:tr w:rsidR="00A30B8B" w:rsidRPr="00A90E5F" w14:paraId="1BF6C0D4" w14:textId="77777777" w:rsidTr="00FB0C01">
        <w:tc>
          <w:tcPr>
            <w:tcW w:w="1007" w:type="pct"/>
            <w:vMerge w:val="restart"/>
          </w:tcPr>
          <w:p w14:paraId="72CE9C8A" w14:textId="0DE4FADB" w:rsidR="00A30B8B" w:rsidRPr="00A90E5F" w:rsidRDefault="00A30B8B" w:rsidP="00A90E5F">
            <w:pPr>
              <w:tabs>
                <w:tab w:val="left" w:pos="284"/>
              </w:tabs>
              <w:spacing w:line="340" w:lineRule="exact"/>
              <w:rPr>
                <w:sz w:val="22"/>
                <w:szCs w:val="22"/>
                <w:lang w:val="en-US" w:eastAsia="en-US"/>
              </w:rPr>
            </w:pPr>
            <w:r w:rsidRPr="00A90E5F">
              <w:rPr>
                <w:b/>
                <w:bCs/>
                <w:sz w:val="22"/>
                <w:szCs w:val="22"/>
                <w:lang w:val="en-US" w:eastAsia="en-US"/>
              </w:rPr>
              <w:t>Non</w:t>
            </w:r>
            <w:r w:rsidR="00903F5B" w:rsidRPr="00A90E5F">
              <w:rPr>
                <w:b/>
                <w:bCs/>
                <w:sz w:val="22"/>
                <w:szCs w:val="22"/>
                <w:lang w:val="en-US" w:eastAsia="en-US"/>
              </w:rPr>
              <w:t>-</w:t>
            </w:r>
            <w:proofErr w:type="spellStart"/>
            <w:r w:rsidRPr="00A90E5F">
              <w:rPr>
                <w:b/>
                <w:bCs/>
                <w:sz w:val="22"/>
                <w:szCs w:val="22"/>
                <w:lang w:val="en-US" w:eastAsia="en-US"/>
              </w:rPr>
              <w:t>pCR</w:t>
            </w:r>
            <w:proofErr w:type="spellEnd"/>
          </w:p>
        </w:tc>
        <w:tc>
          <w:tcPr>
            <w:tcW w:w="1075" w:type="pct"/>
            <w:hideMark/>
          </w:tcPr>
          <w:p w14:paraId="1F75D4E2" w14:textId="447C4DB2"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 </w:t>
            </w:r>
            <w:r w:rsidRPr="00A90E5F">
              <w:rPr>
                <w:sz w:val="22"/>
                <w:szCs w:val="22"/>
                <w:lang w:val="en-US" w:eastAsia="en-US"/>
              </w:rPr>
              <w:t>Grade 3</w:t>
            </w:r>
          </w:p>
        </w:tc>
        <w:tc>
          <w:tcPr>
            <w:tcW w:w="1791" w:type="pct"/>
            <w:hideMark/>
          </w:tcPr>
          <w:p w14:paraId="0674B07B"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149</w:t>
            </w:r>
          </w:p>
        </w:tc>
        <w:tc>
          <w:tcPr>
            <w:tcW w:w="1127" w:type="pct"/>
            <w:hideMark/>
          </w:tcPr>
          <w:p w14:paraId="45A31202"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59.60</w:t>
            </w:r>
          </w:p>
        </w:tc>
      </w:tr>
      <w:tr w:rsidR="00A30B8B" w:rsidRPr="00A90E5F" w14:paraId="46BB5B39" w14:textId="77777777" w:rsidTr="00FB0C01">
        <w:tc>
          <w:tcPr>
            <w:tcW w:w="1007" w:type="pct"/>
            <w:vMerge/>
          </w:tcPr>
          <w:p w14:paraId="032D596E" w14:textId="77777777" w:rsidR="00A30B8B" w:rsidRPr="00A90E5F" w:rsidRDefault="00A30B8B" w:rsidP="00A90E5F">
            <w:pPr>
              <w:tabs>
                <w:tab w:val="left" w:pos="284"/>
              </w:tabs>
              <w:spacing w:line="340" w:lineRule="exact"/>
              <w:rPr>
                <w:sz w:val="22"/>
                <w:szCs w:val="22"/>
                <w:lang w:val="en-US" w:eastAsia="en-US"/>
              </w:rPr>
            </w:pPr>
          </w:p>
        </w:tc>
        <w:tc>
          <w:tcPr>
            <w:tcW w:w="1075" w:type="pct"/>
            <w:hideMark/>
          </w:tcPr>
          <w:p w14:paraId="64504048" w14:textId="1A82D356"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 </w:t>
            </w:r>
            <w:r w:rsidRPr="00A90E5F">
              <w:rPr>
                <w:sz w:val="22"/>
                <w:szCs w:val="22"/>
                <w:lang w:val="en-US" w:eastAsia="en-US"/>
              </w:rPr>
              <w:t>Grade 4</w:t>
            </w:r>
          </w:p>
        </w:tc>
        <w:tc>
          <w:tcPr>
            <w:tcW w:w="1791" w:type="pct"/>
            <w:hideMark/>
          </w:tcPr>
          <w:p w14:paraId="75BEFDFE"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40</w:t>
            </w:r>
          </w:p>
        </w:tc>
        <w:tc>
          <w:tcPr>
            <w:tcW w:w="1127" w:type="pct"/>
            <w:hideMark/>
          </w:tcPr>
          <w:p w14:paraId="3B22F26F" w14:textId="77777777" w:rsidR="00A30B8B" w:rsidRPr="00A90E5F" w:rsidRDefault="00A30B8B" w:rsidP="00A90E5F">
            <w:pPr>
              <w:tabs>
                <w:tab w:val="left" w:pos="284"/>
              </w:tabs>
              <w:spacing w:line="340" w:lineRule="exact"/>
              <w:rPr>
                <w:sz w:val="22"/>
                <w:szCs w:val="22"/>
                <w:lang w:val="en-US" w:eastAsia="en-US"/>
              </w:rPr>
            </w:pPr>
            <w:r w:rsidRPr="00A90E5F">
              <w:rPr>
                <w:sz w:val="22"/>
                <w:szCs w:val="22"/>
                <w:lang w:val="en-US" w:eastAsia="en-US"/>
              </w:rPr>
              <w:t>16.00</w:t>
            </w:r>
          </w:p>
        </w:tc>
      </w:tr>
      <w:tr w:rsidR="00FB0C01" w:rsidRPr="00A90E5F" w14:paraId="47F2C91D" w14:textId="77777777" w:rsidTr="00FB0C01">
        <w:tc>
          <w:tcPr>
            <w:tcW w:w="2082" w:type="pct"/>
            <w:gridSpan w:val="2"/>
          </w:tcPr>
          <w:p w14:paraId="1CA77DD0" w14:textId="7DCC86FB" w:rsidR="00FB0C01" w:rsidRPr="00A90E5F" w:rsidRDefault="00FB0C01" w:rsidP="00A90E5F">
            <w:pPr>
              <w:tabs>
                <w:tab w:val="left" w:pos="284"/>
              </w:tabs>
              <w:spacing w:line="340" w:lineRule="exact"/>
              <w:rPr>
                <w:sz w:val="22"/>
                <w:szCs w:val="22"/>
                <w:lang w:val="en-US" w:eastAsia="en-US"/>
              </w:rPr>
            </w:pPr>
            <w:r w:rsidRPr="00A90E5F">
              <w:rPr>
                <w:b/>
                <w:bCs/>
                <w:sz w:val="22"/>
                <w:szCs w:val="22"/>
                <w:lang w:val="en-US" w:eastAsia="en-US"/>
              </w:rPr>
              <w:t>Total</w:t>
            </w:r>
          </w:p>
        </w:tc>
        <w:tc>
          <w:tcPr>
            <w:tcW w:w="1791" w:type="pct"/>
            <w:hideMark/>
          </w:tcPr>
          <w:p w14:paraId="609261D0"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250</w:t>
            </w:r>
          </w:p>
        </w:tc>
        <w:tc>
          <w:tcPr>
            <w:tcW w:w="1127" w:type="pct"/>
            <w:hideMark/>
          </w:tcPr>
          <w:p w14:paraId="6ABF4CD0"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100.00</w:t>
            </w:r>
          </w:p>
        </w:tc>
      </w:tr>
    </w:tbl>
    <w:p w14:paraId="311E8BCC" w14:textId="71E18D17" w:rsidR="00A30B8B" w:rsidRPr="00A90E5F" w:rsidRDefault="00A30B8B" w:rsidP="00A90E5F">
      <w:pPr>
        <w:tabs>
          <w:tab w:val="left" w:pos="284"/>
        </w:tabs>
        <w:spacing w:line="340" w:lineRule="exact"/>
        <w:rPr>
          <w:sz w:val="22"/>
          <w:szCs w:val="22"/>
          <w:lang w:val="en-US" w:eastAsia="en-US"/>
        </w:rPr>
      </w:pPr>
      <w:r w:rsidRPr="00A90E5F">
        <w:rPr>
          <w:b/>
          <w:bCs/>
          <w:sz w:val="22"/>
          <w:szCs w:val="22"/>
          <w:lang w:val="en-US" w:eastAsia="en-US"/>
        </w:rPr>
        <w:t>Table 3.</w:t>
      </w:r>
      <w:r w:rsidR="005630D1">
        <w:rPr>
          <w:b/>
          <w:bCs/>
          <w:sz w:val="22"/>
          <w:szCs w:val="22"/>
          <w:lang w:val="en-US" w:eastAsia="en-US"/>
        </w:rPr>
        <w:t>32</w:t>
      </w:r>
      <w:r w:rsidRPr="00A90E5F">
        <w:rPr>
          <w:b/>
          <w:bCs/>
          <w:sz w:val="22"/>
          <w:szCs w:val="22"/>
          <w:lang w:val="en-US" w:eastAsia="en-US"/>
        </w:rPr>
        <w:t xml:space="preserve">. </w:t>
      </w:r>
      <w:r w:rsidRPr="00A90E5F">
        <w:rPr>
          <w:sz w:val="22"/>
          <w:szCs w:val="22"/>
          <w:lang w:val="en-US" w:eastAsia="en-US"/>
        </w:rPr>
        <w:t>Complete Pathological Response (</w:t>
      </w:r>
      <w:proofErr w:type="spellStart"/>
      <w:r w:rsidRPr="00A90E5F">
        <w:rPr>
          <w:sz w:val="22"/>
          <w:szCs w:val="22"/>
          <w:lang w:val="en-US" w:eastAsia="en-US"/>
        </w:rPr>
        <w:t>pCR</w:t>
      </w:r>
      <w:proofErr w:type="spellEnd"/>
      <w:r w:rsidRPr="00A90E5F">
        <w:rPr>
          <w:sz w:val="22"/>
          <w:szCs w:val="22"/>
          <w:lang w:val="en-US" w:eastAsia="en-US"/>
        </w:rPr>
        <w:t>) by Molecular Subtype</w:t>
      </w:r>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304"/>
        <w:gridCol w:w="1460"/>
        <w:gridCol w:w="1330"/>
      </w:tblGrid>
      <w:tr w:rsidR="00FB0C01" w:rsidRPr="00A90E5F" w14:paraId="27E09EFE" w14:textId="77777777" w:rsidTr="00FB0C01">
        <w:tc>
          <w:tcPr>
            <w:tcW w:w="2711" w:type="pct"/>
            <w:hideMark/>
          </w:tcPr>
          <w:p w14:paraId="7BE5E613" w14:textId="77777777" w:rsidR="00FB0C01" w:rsidRPr="00A90E5F" w:rsidRDefault="00FB0C01" w:rsidP="00A90E5F">
            <w:pPr>
              <w:tabs>
                <w:tab w:val="left" w:pos="284"/>
              </w:tabs>
              <w:spacing w:line="340" w:lineRule="exact"/>
              <w:rPr>
                <w:b/>
                <w:bCs/>
                <w:sz w:val="22"/>
                <w:szCs w:val="22"/>
                <w:lang w:val="en-US" w:eastAsia="en-US"/>
              </w:rPr>
            </w:pPr>
            <w:r w:rsidRPr="00A90E5F">
              <w:rPr>
                <w:b/>
                <w:bCs/>
                <w:sz w:val="22"/>
                <w:szCs w:val="22"/>
                <w:lang w:val="en-US" w:eastAsia="en-US"/>
              </w:rPr>
              <w:t>Molecular Subtype</w:t>
            </w:r>
          </w:p>
        </w:tc>
        <w:tc>
          <w:tcPr>
            <w:tcW w:w="1198" w:type="pct"/>
            <w:hideMark/>
          </w:tcPr>
          <w:p w14:paraId="420489BC" w14:textId="386D7D68" w:rsidR="00FB0C01" w:rsidRPr="00A90E5F" w:rsidRDefault="00FB0C01" w:rsidP="00A90E5F">
            <w:pPr>
              <w:tabs>
                <w:tab w:val="left" w:pos="284"/>
              </w:tabs>
              <w:spacing w:line="340" w:lineRule="exact"/>
              <w:rPr>
                <w:b/>
                <w:bCs/>
                <w:sz w:val="22"/>
                <w:szCs w:val="22"/>
                <w:lang w:val="en-US" w:eastAsia="en-US"/>
              </w:rPr>
            </w:pPr>
            <w:r w:rsidRPr="00A90E5F">
              <w:rPr>
                <w:b/>
                <w:bCs/>
                <w:sz w:val="22"/>
                <w:szCs w:val="22"/>
                <w:lang w:val="en-US" w:eastAsia="en-US"/>
              </w:rPr>
              <w:t>Non-</w:t>
            </w:r>
            <w:proofErr w:type="spellStart"/>
            <w:r w:rsidRPr="00A90E5F">
              <w:rPr>
                <w:b/>
                <w:bCs/>
                <w:sz w:val="22"/>
                <w:szCs w:val="22"/>
                <w:lang w:val="en-US" w:eastAsia="en-US"/>
              </w:rPr>
              <w:t>pCR</w:t>
            </w:r>
            <w:proofErr w:type="spellEnd"/>
            <w:r w:rsidRPr="00A90E5F">
              <w:rPr>
                <w:b/>
                <w:bCs/>
                <w:sz w:val="22"/>
                <w:szCs w:val="22"/>
                <w:lang w:val="en-US" w:eastAsia="en-US"/>
              </w:rPr>
              <w:t xml:space="preserve"> </w:t>
            </w:r>
          </w:p>
          <w:p w14:paraId="3DB8665B" w14:textId="27995FFF" w:rsidR="00FB0C01" w:rsidRPr="00A90E5F" w:rsidRDefault="00FB0C01" w:rsidP="00A90E5F">
            <w:pPr>
              <w:tabs>
                <w:tab w:val="left" w:pos="284"/>
              </w:tabs>
              <w:spacing w:line="340" w:lineRule="exact"/>
              <w:rPr>
                <w:b/>
                <w:bCs/>
                <w:sz w:val="22"/>
                <w:szCs w:val="22"/>
                <w:lang w:val="en-US" w:eastAsia="en-US"/>
              </w:rPr>
            </w:pPr>
            <w:r w:rsidRPr="00A90E5F">
              <w:rPr>
                <w:b/>
                <w:bCs/>
                <w:sz w:val="22"/>
                <w:szCs w:val="22"/>
                <w:lang w:val="en-US" w:eastAsia="en-US"/>
              </w:rPr>
              <w:t>n (%)</w:t>
            </w:r>
          </w:p>
        </w:tc>
        <w:tc>
          <w:tcPr>
            <w:tcW w:w="1092" w:type="pct"/>
            <w:hideMark/>
          </w:tcPr>
          <w:p w14:paraId="7691A3E0" w14:textId="77777777" w:rsidR="00FB0C01" w:rsidRPr="00A90E5F" w:rsidRDefault="00FB0C01" w:rsidP="00A90E5F">
            <w:pPr>
              <w:tabs>
                <w:tab w:val="left" w:pos="284"/>
              </w:tabs>
              <w:spacing w:line="340" w:lineRule="exact"/>
              <w:rPr>
                <w:b/>
                <w:bCs/>
                <w:sz w:val="22"/>
                <w:szCs w:val="22"/>
                <w:lang w:val="en-US" w:eastAsia="en-US"/>
              </w:rPr>
            </w:pPr>
            <w:proofErr w:type="spellStart"/>
            <w:r w:rsidRPr="00A90E5F">
              <w:rPr>
                <w:b/>
                <w:bCs/>
                <w:sz w:val="22"/>
                <w:szCs w:val="22"/>
                <w:lang w:val="en-US" w:eastAsia="en-US"/>
              </w:rPr>
              <w:t>pCR</w:t>
            </w:r>
            <w:proofErr w:type="spellEnd"/>
            <w:r w:rsidRPr="00A90E5F">
              <w:rPr>
                <w:b/>
                <w:bCs/>
                <w:sz w:val="22"/>
                <w:szCs w:val="22"/>
                <w:lang w:val="en-US" w:eastAsia="en-US"/>
              </w:rPr>
              <w:t xml:space="preserve"> </w:t>
            </w:r>
          </w:p>
          <w:p w14:paraId="663B89D9" w14:textId="4324D1CE" w:rsidR="00FB0C01" w:rsidRPr="00A90E5F" w:rsidRDefault="00FB0C01" w:rsidP="00A90E5F">
            <w:pPr>
              <w:tabs>
                <w:tab w:val="left" w:pos="284"/>
              </w:tabs>
              <w:spacing w:line="340" w:lineRule="exact"/>
              <w:rPr>
                <w:b/>
                <w:bCs/>
                <w:sz w:val="22"/>
                <w:szCs w:val="22"/>
                <w:lang w:val="en-US" w:eastAsia="en-US"/>
              </w:rPr>
            </w:pPr>
            <w:r w:rsidRPr="00A90E5F">
              <w:rPr>
                <w:b/>
                <w:bCs/>
                <w:sz w:val="22"/>
                <w:szCs w:val="22"/>
                <w:lang w:val="en-US" w:eastAsia="en-US"/>
              </w:rPr>
              <w:t>n (%)</w:t>
            </w:r>
          </w:p>
        </w:tc>
      </w:tr>
      <w:tr w:rsidR="00FB0C01" w:rsidRPr="00A90E5F" w14:paraId="391A813E" w14:textId="77777777" w:rsidTr="00FB0C01">
        <w:tc>
          <w:tcPr>
            <w:tcW w:w="2711" w:type="pct"/>
            <w:hideMark/>
          </w:tcPr>
          <w:p w14:paraId="6F403F40"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Luminal A</w:t>
            </w:r>
          </w:p>
        </w:tc>
        <w:tc>
          <w:tcPr>
            <w:tcW w:w="1198" w:type="pct"/>
            <w:hideMark/>
          </w:tcPr>
          <w:p w14:paraId="0EC7774F"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28 (96.55)</w:t>
            </w:r>
          </w:p>
        </w:tc>
        <w:tc>
          <w:tcPr>
            <w:tcW w:w="1092" w:type="pct"/>
            <w:hideMark/>
          </w:tcPr>
          <w:p w14:paraId="1538CB52"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1 (3.45)</w:t>
            </w:r>
          </w:p>
        </w:tc>
      </w:tr>
      <w:tr w:rsidR="00FB0C01" w:rsidRPr="00A90E5F" w14:paraId="72F6A0CA" w14:textId="77777777" w:rsidTr="00FB0C01">
        <w:tc>
          <w:tcPr>
            <w:tcW w:w="2711" w:type="pct"/>
            <w:hideMark/>
          </w:tcPr>
          <w:p w14:paraId="48DCEE1B" w14:textId="129DA429"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Luminal B / HER2-negative</w:t>
            </w:r>
          </w:p>
        </w:tc>
        <w:tc>
          <w:tcPr>
            <w:tcW w:w="1198" w:type="pct"/>
            <w:hideMark/>
          </w:tcPr>
          <w:p w14:paraId="5EA75FB1"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75 (87.21)</w:t>
            </w:r>
          </w:p>
        </w:tc>
        <w:tc>
          <w:tcPr>
            <w:tcW w:w="1092" w:type="pct"/>
            <w:hideMark/>
          </w:tcPr>
          <w:p w14:paraId="560EF9FE"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11 (12.79)</w:t>
            </w:r>
          </w:p>
        </w:tc>
      </w:tr>
      <w:tr w:rsidR="00FB0C01" w:rsidRPr="00A90E5F" w14:paraId="3680AB00" w14:textId="77777777" w:rsidTr="00FB0C01">
        <w:tc>
          <w:tcPr>
            <w:tcW w:w="2711" w:type="pct"/>
            <w:hideMark/>
          </w:tcPr>
          <w:p w14:paraId="7A835925" w14:textId="1C2A642A"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Luminal B / HER2-positive</w:t>
            </w:r>
          </w:p>
        </w:tc>
        <w:tc>
          <w:tcPr>
            <w:tcW w:w="1198" w:type="pct"/>
            <w:hideMark/>
          </w:tcPr>
          <w:p w14:paraId="1BFFD2B6"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36 (67.92)</w:t>
            </w:r>
          </w:p>
        </w:tc>
        <w:tc>
          <w:tcPr>
            <w:tcW w:w="1092" w:type="pct"/>
            <w:hideMark/>
          </w:tcPr>
          <w:p w14:paraId="404343BE"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17 (32.08)</w:t>
            </w:r>
          </w:p>
        </w:tc>
      </w:tr>
      <w:tr w:rsidR="00FB0C01" w:rsidRPr="00A90E5F" w14:paraId="23CA0E34" w14:textId="77777777" w:rsidTr="00FB0C01">
        <w:tc>
          <w:tcPr>
            <w:tcW w:w="2711" w:type="pct"/>
            <w:hideMark/>
          </w:tcPr>
          <w:p w14:paraId="012CEE0E" w14:textId="345BE373"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HER2-positive (non-luminal)</w:t>
            </w:r>
          </w:p>
        </w:tc>
        <w:tc>
          <w:tcPr>
            <w:tcW w:w="1198" w:type="pct"/>
            <w:hideMark/>
          </w:tcPr>
          <w:p w14:paraId="33B53467"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28 (56.00)</w:t>
            </w:r>
          </w:p>
        </w:tc>
        <w:tc>
          <w:tcPr>
            <w:tcW w:w="1092" w:type="pct"/>
            <w:hideMark/>
          </w:tcPr>
          <w:p w14:paraId="49A8186E"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22 (44.00)</w:t>
            </w:r>
          </w:p>
        </w:tc>
      </w:tr>
      <w:tr w:rsidR="00FB0C01" w:rsidRPr="00A90E5F" w14:paraId="236B8F75" w14:textId="77777777" w:rsidTr="00FB0C01">
        <w:tc>
          <w:tcPr>
            <w:tcW w:w="2711" w:type="pct"/>
            <w:hideMark/>
          </w:tcPr>
          <w:p w14:paraId="198FA3CE" w14:textId="3945F998"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Triple-negative (TNBC)</w:t>
            </w:r>
          </w:p>
        </w:tc>
        <w:tc>
          <w:tcPr>
            <w:tcW w:w="1198" w:type="pct"/>
            <w:hideMark/>
          </w:tcPr>
          <w:p w14:paraId="368BD12E"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22 (68.75)</w:t>
            </w:r>
          </w:p>
        </w:tc>
        <w:tc>
          <w:tcPr>
            <w:tcW w:w="1092" w:type="pct"/>
            <w:hideMark/>
          </w:tcPr>
          <w:p w14:paraId="2CE4A628"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10 (31.25)</w:t>
            </w:r>
          </w:p>
        </w:tc>
      </w:tr>
      <w:tr w:rsidR="00FB0C01" w:rsidRPr="00A90E5F" w14:paraId="47008A66" w14:textId="77777777" w:rsidTr="00FB0C01">
        <w:tc>
          <w:tcPr>
            <w:tcW w:w="2711" w:type="pct"/>
            <w:hideMark/>
          </w:tcPr>
          <w:p w14:paraId="706B2EC1" w14:textId="77777777" w:rsidR="00FB0C01" w:rsidRPr="00A90E5F" w:rsidRDefault="00FB0C01" w:rsidP="00A90E5F">
            <w:pPr>
              <w:tabs>
                <w:tab w:val="left" w:pos="284"/>
              </w:tabs>
              <w:spacing w:line="340" w:lineRule="exact"/>
              <w:rPr>
                <w:sz w:val="22"/>
                <w:szCs w:val="22"/>
                <w:lang w:val="en-US" w:eastAsia="en-US"/>
              </w:rPr>
            </w:pPr>
            <w:r w:rsidRPr="00A90E5F">
              <w:rPr>
                <w:b/>
                <w:bCs/>
                <w:sz w:val="22"/>
                <w:szCs w:val="22"/>
                <w:lang w:val="en-US" w:eastAsia="en-US"/>
              </w:rPr>
              <w:t>Total</w:t>
            </w:r>
          </w:p>
        </w:tc>
        <w:tc>
          <w:tcPr>
            <w:tcW w:w="1198" w:type="pct"/>
            <w:hideMark/>
          </w:tcPr>
          <w:p w14:paraId="5AED853E"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189 (75.60)</w:t>
            </w:r>
          </w:p>
        </w:tc>
        <w:tc>
          <w:tcPr>
            <w:tcW w:w="1092" w:type="pct"/>
            <w:hideMark/>
          </w:tcPr>
          <w:p w14:paraId="651D8159" w14:textId="77777777" w:rsidR="00FB0C01" w:rsidRPr="00A90E5F" w:rsidRDefault="00FB0C01" w:rsidP="00A90E5F">
            <w:pPr>
              <w:tabs>
                <w:tab w:val="left" w:pos="284"/>
              </w:tabs>
              <w:spacing w:line="340" w:lineRule="exact"/>
              <w:rPr>
                <w:sz w:val="22"/>
                <w:szCs w:val="22"/>
                <w:lang w:val="en-US" w:eastAsia="en-US"/>
              </w:rPr>
            </w:pPr>
            <w:r w:rsidRPr="00A90E5F">
              <w:rPr>
                <w:sz w:val="22"/>
                <w:szCs w:val="22"/>
                <w:lang w:val="en-US" w:eastAsia="en-US"/>
              </w:rPr>
              <w:t>61 (24.40)</w:t>
            </w:r>
          </w:p>
        </w:tc>
      </w:tr>
    </w:tbl>
    <w:p w14:paraId="69AE6FD6" w14:textId="77777777" w:rsidR="00A30B8B" w:rsidRPr="00A90E5F" w:rsidRDefault="00A30B8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t>3.4.5. Adjuvant Treatments Following Surgery</w:t>
      </w:r>
    </w:p>
    <w:p w14:paraId="2D76F9B2" w14:textId="2465EF60" w:rsidR="00FB0C01"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Pr="00A90E5F">
        <w:rPr>
          <w:rFonts w:eastAsiaTheme="majorEastAsia"/>
          <w:iCs/>
          <w:sz w:val="22"/>
          <w:szCs w:val="22"/>
          <w:lang w:val="en-US" w:eastAsia="en-US"/>
        </w:rPr>
        <w:t>Adjuvant radiotherapy was</w:t>
      </w:r>
      <w:r w:rsidRPr="00A90E5F">
        <w:rPr>
          <w:rFonts w:eastAsiaTheme="majorEastAsia"/>
          <w:iCs/>
          <w:sz w:val="22"/>
          <w:szCs w:val="22"/>
          <w:lang w:eastAsia="en-US"/>
        </w:rPr>
        <w:t xml:space="preserve"> </w:t>
      </w:r>
      <w:r w:rsidRPr="00A90E5F">
        <w:rPr>
          <w:rFonts w:eastAsiaTheme="majorEastAsia"/>
          <w:iCs/>
          <w:sz w:val="22"/>
          <w:szCs w:val="22"/>
          <w:lang w:val="en-US" w:eastAsia="en-US"/>
        </w:rPr>
        <w:t>92.0%.</w:t>
      </w:r>
    </w:p>
    <w:p w14:paraId="21F81F91" w14:textId="4B57C1C9" w:rsidR="00FB0C01"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Pr="00A90E5F">
        <w:rPr>
          <w:rFonts w:eastAsiaTheme="majorEastAsia"/>
          <w:iCs/>
          <w:sz w:val="22"/>
          <w:szCs w:val="22"/>
          <w:lang w:val="en-US" w:eastAsia="en-US"/>
        </w:rPr>
        <w:t>Adjuvant chemotherapy was</w:t>
      </w:r>
      <w:r w:rsidRPr="00A90E5F">
        <w:rPr>
          <w:rFonts w:eastAsiaTheme="majorEastAsia"/>
          <w:iCs/>
          <w:sz w:val="22"/>
          <w:szCs w:val="22"/>
          <w:lang w:eastAsia="en-US"/>
        </w:rPr>
        <w:t xml:space="preserve"> </w:t>
      </w:r>
      <w:r w:rsidRPr="00A90E5F">
        <w:rPr>
          <w:rFonts w:eastAsiaTheme="majorEastAsia"/>
          <w:iCs/>
          <w:sz w:val="22"/>
          <w:szCs w:val="22"/>
          <w:lang w:val="en-US" w:eastAsia="en-US"/>
        </w:rPr>
        <w:t>21.2%.</w:t>
      </w:r>
    </w:p>
    <w:p w14:paraId="13C91B39" w14:textId="00B21676" w:rsidR="00FB0C01"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Pr="00A90E5F">
        <w:rPr>
          <w:rFonts w:eastAsiaTheme="majorEastAsia"/>
          <w:iCs/>
          <w:sz w:val="22"/>
          <w:szCs w:val="22"/>
          <w:lang w:val="en-US" w:eastAsia="en-US"/>
        </w:rPr>
        <w:t>Endocrine therapy was 63.2%.</w:t>
      </w:r>
    </w:p>
    <w:p w14:paraId="697215FB" w14:textId="606A9612" w:rsidR="00FB0C01"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Pr="00A90E5F">
        <w:rPr>
          <w:rFonts w:eastAsiaTheme="majorEastAsia"/>
          <w:iCs/>
          <w:sz w:val="22"/>
          <w:szCs w:val="22"/>
          <w:lang w:val="en-US" w:eastAsia="en-US"/>
        </w:rPr>
        <w:t>Immunotherapy was only</w:t>
      </w:r>
      <w:r w:rsidRPr="00A90E5F">
        <w:rPr>
          <w:rFonts w:eastAsiaTheme="majorEastAsia"/>
          <w:iCs/>
          <w:sz w:val="22"/>
          <w:szCs w:val="22"/>
          <w:lang w:eastAsia="en-US"/>
        </w:rPr>
        <w:t xml:space="preserve"> </w:t>
      </w:r>
      <w:r w:rsidRPr="00A90E5F">
        <w:rPr>
          <w:rFonts w:eastAsiaTheme="majorEastAsia"/>
          <w:iCs/>
          <w:sz w:val="22"/>
          <w:szCs w:val="22"/>
          <w:lang w:val="en-US" w:eastAsia="en-US"/>
        </w:rPr>
        <w:t>0.8% of patients.</w:t>
      </w:r>
    </w:p>
    <w:p w14:paraId="5BF12710" w14:textId="692271BC" w:rsidR="00A30B8B" w:rsidRPr="00A90E5F" w:rsidRDefault="00A30B8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lastRenderedPageBreak/>
        <w:t>3.5. Follow</w:t>
      </w:r>
      <w:r w:rsidR="00903F5B" w:rsidRPr="00A90E5F">
        <w:rPr>
          <w:rFonts w:eastAsiaTheme="majorEastAsia"/>
          <w:b/>
          <w:bCs/>
          <w:i/>
          <w:sz w:val="22"/>
          <w:szCs w:val="22"/>
          <w:lang w:val="en-US" w:eastAsia="en-US"/>
        </w:rPr>
        <w:t>-</w:t>
      </w:r>
      <w:r w:rsidRPr="00A90E5F">
        <w:rPr>
          <w:rFonts w:eastAsiaTheme="majorEastAsia"/>
          <w:b/>
          <w:bCs/>
          <w:i/>
          <w:sz w:val="22"/>
          <w:szCs w:val="22"/>
          <w:lang w:val="en-US" w:eastAsia="en-US"/>
        </w:rPr>
        <w:t>up Outcomes</w:t>
      </w:r>
    </w:p>
    <w:p w14:paraId="4D746661" w14:textId="77777777" w:rsidR="00A30B8B" w:rsidRPr="00A90E5F" w:rsidRDefault="00A30B8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t>3.5.1. Disease Events During and After Treatment</w:t>
      </w:r>
    </w:p>
    <w:p w14:paraId="0C2B0C15" w14:textId="7C9EFB5C"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A total of 17 patients (6.8%) experienced disease events (recurrence/progression/metastasis), with most events occurring within the first two years of follow</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up.</w:t>
      </w: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Temporal distribution:</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At 6 months: 1.6%</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At 12 months: 3.2%</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At 18 months: 6.0%</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Stable at 6.8% from month 24 onward.</w:t>
      </w:r>
    </w:p>
    <w:p w14:paraId="6A7B4B95" w14:textId="77777777" w:rsidR="00A30B8B" w:rsidRPr="00A90E5F" w:rsidRDefault="00A30B8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t>3.5.2. Sites of Recurrence and Metastasis</w:t>
      </w:r>
    </w:p>
    <w:p w14:paraId="04595639" w14:textId="5B4A485A" w:rsidR="00A30B8B" w:rsidRPr="00A90E5F" w:rsidRDefault="00A30B8B"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Distant metastasis was the predominant pattern (11 out of 17 patients, 64.7%).</w:t>
      </w:r>
      <w:r w:rsidRPr="00A90E5F">
        <w:rPr>
          <w:rFonts w:eastAsiaTheme="majorEastAsia"/>
          <w:iCs/>
          <w:sz w:val="22"/>
          <w:szCs w:val="22"/>
          <w:lang w:eastAsia="en-US"/>
        </w:rPr>
        <w:t xml:space="preserve"> </w:t>
      </w:r>
      <w:r w:rsidRPr="00A90E5F">
        <w:rPr>
          <w:rFonts w:eastAsiaTheme="majorEastAsia"/>
          <w:iCs/>
          <w:sz w:val="22"/>
          <w:szCs w:val="22"/>
          <w:lang w:val="en-US" w:eastAsia="en-US"/>
        </w:rPr>
        <w:t>The lung was the most common metastatic site (5 cases), followed by the brain (3 cases).</w:t>
      </w:r>
      <w:r w:rsidRPr="00A90E5F">
        <w:rPr>
          <w:rFonts w:eastAsiaTheme="majorEastAsia"/>
          <w:iCs/>
          <w:sz w:val="22"/>
          <w:szCs w:val="22"/>
          <w:lang w:eastAsia="en-US"/>
        </w:rPr>
        <w:t xml:space="preserve"> </w:t>
      </w:r>
      <w:r w:rsidRPr="00A90E5F">
        <w:rPr>
          <w:rFonts w:eastAsiaTheme="majorEastAsia"/>
          <w:iCs/>
          <w:sz w:val="22"/>
          <w:szCs w:val="22"/>
          <w:lang w:val="en-US" w:eastAsia="en-US"/>
        </w:rPr>
        <w:t>Local recurrence in the breast or regional lymph nodes was infrequent.</w:t>
      </w:r>
    </w:p>
    <w:p w14:paraId="724D828D" w14:textId="77777777" w:rsidR="00A30B8B" w:rsidRPr="00A90E5F" w:rsidRDefault="00A30B8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t>3.5.3. Survival Outcomes</w:t>
      </w:r>
    </w:p>
    <w:p w14:paraId="194D15DD" w14:textId="6CBACE25" w:rsidR="00A30B8B" w:rsidRPr="00A90E5F" w:rsidRDefault="00FB0C01" w:rsidP="00A90E5F">
      <w:pPr>
        <w:tabs>
          <w:tab w:val="left" w:pos="284"/>
        </w:tabs>
        <w:spacing w:line="340" w:lineRule="exact"/>
        <w:rPr>
          <w:rFonts w:eastAsiaTheme="majorEastAsia"/>
          <w:iCs/>
          <w:sz w:val="22"/>
          <w:szCs w:val="22"/>
          <w:lang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Event</w:t>
      </w:r>
      <w:r w:rsidR="00903F5B" w:rsidRPr="00A90E5F">
        <w:rPr>
          <w:rFonts w:eastAsiaTheme="majorEastAsia"/>
          <w:iCs/>
          <w:sz w:val="22"/>
          <w:szCs w:val="22"/>
          <w:lang w:val="en-US" w:eastAsia="en-US"/>
        </w:rPr>
        <w:t>-f</w:t>
      </w:r>
      <w:r w:rsidR="00A30B8B" w:rsidRPr="00A90E5F">
        <w:rPr>
          <w:rFonts w:eastAsiaTheme="majorEastAsia"/>
          <w:iCs/>
          <w:sz w:val="22"/>
          <w:szCs w:val="22"/>
          <w:lang w:val="en-US" w:eastAsia="en-US"/>
        </w:rPr>
        <w:t>ree Survival (EFS) rates:6 months: 98.4%</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12 months: 96.4%</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24 and 36 months: 93.2%</w:t>
      </w:r>
    </w:p>
    <w:p w14:paraId="1A716F60" w14:textId="273E02A1"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Overall Survival (OS) rates:</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12 months: 99.2%</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24 months: 98.8%</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36 months: 98.0%</w:t>
      </w:r>
    </w:p>
    <w:p w14:paraId="0CCA6442" w14:textId="77777777" w:rsidR="00A30B8B" w:rsidRPr="00A90E5F" w:rsidRDefault="00A30B8B" w:rsidP="00A90E5F">
      <w:pPr>
        <w:tabs>
          <w:tab w:val="left" w:pos="284"/>
        </w:tabs>
        <w:spacing w:line="340" w:lineRule="exact"/>
        <w:rPr>
          <w:rFonts w:eastAsiaTheme="majorEastAsia"/>
          <w:b/>
          <w:bCs/>
          <w:i/>
          <w:sz w:val="22"/>
          <w:szCs w:val="22"/>
          <w:lang w:val="en-US" w:eastAsia="en-US"/>
        </w:rPr>
      </w:pPr>
      <w:r w:rsidRPr="00A90E5F">
        <w:rPr>
          <w:rFonts w:eastAsiaTheme="majorEastAsia"/>
          <w:b/>
          <w:bCs/>
          <w:i/>
          <w:sz w:val="22"/>
          <w:szCs w:val="22"/>
          <w:lang w:val="en-US" w:eastAsia="en-US"/>
        </w:rPr>
        <w:t>3.6. Prognostic Factors Associated with Treatment Outcomes</w:t>
      </w:r>
    </w:p>
    <w:p w14:paraId="4B74FC29" w14:textId="5F329348"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3</w:t>
      </w:r>
      <w:r w:rsidRPr="00A90E5F">
        <w:rPr>
          <w:rFonts w:eastAsiaTheme="majorEastAsia"/>
          <w:iCs/>
          <w:sz w:val="22"/>
          <w:szCs w:val="22"/>
          <w:lang w:eastAsia="en-US"/>
        </w:rPr>
        <w:t xml:space="preserve">.6.1. </w:t>
      </w:r>
      <w:r w:rsidR="00A30B8B" w:rsidRPr="00A90E5F">
        <w:rPr>
          <w:rFonts w:eastAsiaTheme="majorEastAsia"/>
          <w:iCs/>
          <w:sz w:val="22"/>
          <w:szCs w:val="22"/>
          <w:lang w:val="en-US" w:eastAsia="en-US"/>
        </w:rPr>
        <w:t>Clinical stage and pathological response were the two strongest prognostic indicators:</w:t>
      </w:r>
    </w:p>
    <w:p w14:paraId="077E5216" w14:textId="7E576D50"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Pre</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treatment stage significantly affected EFS:</w:t>
      </w: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Stage IIIC had a 2</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year EFS of only 77.3%, significantly lower than stage IIIA (98.8%) (p &lt; 0.05).</w:t>
      </w:r>
    </w:p>
    <w:p w14:paraId="236F6789" w14:textId="392FC7F4"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Post</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treatment stage (</w:t>
      </w:r>
      <w:proofErr w:type="spellStart"/>
      <w:r w:rsidR="00A30B8B" w:rsidRPr="00A90E5F">
        <w:rPr>
          <w:rFonts w:eastAsiaTheme="majorEastAsia"/>
          <w:iCs/>
          <w:sz w:val="22"/>
          <w:szCs w:val="22"/>
          <w:lang w:val="en-US" w:eastAsia="en-US"/>
        </w:rPr>
        <w:t>ypTNM</w:t>
      </w:r>
      <w:proofErr w:type="spellEnd"/>
      <w:r w:rsidR="00A30B8B" w:rsidRPr="00A90E5F">
        <w:rPr>
          <w:rFonts w:eastAsiaTheme="majorEastAsia"/>
          <w:iCs/>
          <w:sz w:val="22"/>
          <w:szCs w:val="22"/>
          <w:lang w:val="en-US" w:eastAsia="en-US"/>
        </w:rPr>
        <w:t>) also retained prognostic relevance:</w:t>
      </w:r>
    </w:p>
    <w:p w14:paraId="4FD7EBC6" w14:textId="4D0BC208" w:rsidR="00A30B8B" w:rsidRPr="00A90E5F" w:rsidRDefault="00A30B8B"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Stages IIB</w:t>
      </w:r>
      <w:r w:rsidR="00903F5B" w:rsidRPr="00A90E5F">
        <w:rPr>
          <w:rFonts w:eastAsiaTheme="majorEastAsia"/>
          <w:iCs/>
          <w:sz w:val="22"/>
          <w:szCs w:val="22"/>
          <w:lang w:val="en-US" w:eastAsia="en-US"/>
        </w:rPr>
        <w:t>-</w:t>
      </w:r>
      <w:r w:rsidRPr="00A90E5F">
        <w:rPr>
          <w:rFonts w:eastAsiaTheme="majorEastAsia"/>
          <w:iCs/>
          <w:sz w:val="22"/>
          <w:szCs w:val="22"/>
          <w:lang w:val="en-US" w:eastAsia="en-US"/>
        </w:rPr>
        <w:t>IIIC showed EFS ranging from 69.2% to 89.7%, lower than early</w:t>
      </w:r>
      <w:r w:rsidR="00903F5B" w:rsidRPr="00A90E5F">
        <w:rPr>
          <w:rFonts w:eastAsiaTheme="majorEastAsia"/>
          <w:iCs/>
          <w:sz w:val="22"/>
          <w:szCs w:val="22"/>
          <w:lang w:val="en-US" w:eastAsia="en-US"/>
        </w:rPr>
        <w:t>-</w:t>
      </w:r>
      <w:r w:rsidRPr="00A90E5F">
        <w:rPr>
          <w:rFonts w:eastAsiaTheme="majorEastAsia"/>
          <w:iCs/>
          <w:sz w:val="22"/>
          <w:szCs w:val="22"/>
          <w:lang w:val="en-US" w:eastAsia="en-US"/>
        </w:rPr>
        <w:t>stage groups.</w:t>
      </w:r>
    </w:p>
    <w:p w14:paraId="60DC3A1C" w14:textId="73CD68ED"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lastRenderedPageBreak/>
        <w:t xml:space="preserve">- </w:t>
      </w:r>
      <w:r w:rsidR="00A30B8B" w:rsidRPr="00A90E5F">
        <w:rPr>
          <w:rFonts w:eastAsiaTheme="majorEastAsia"/>
          <w:iCs/>
          <w:sz w:val="22"/>
          <w:szCs w:val="22"/>
          <w:lang w:val="en-US" w:eastAsia="en-US"/>
        </w:rPr>
        <w:t>Pathological response (</w:t>
      </w:r>
      <w:proofErr w:type="spellStart"/>
      <w:r w:rsidR="00A30B8B" w:rsidRPr="00A90E5F">
        <w:rPr>
          <w:rFonts w:eastAsiaTheme="majorEastAsia"/>
          <w:iCs/>
          <w:sz w:val="22"/>
          <w:szCs w:val="22"/>
          <w:lang w:val="en-US" w:eastAsia="en-US"/>
        </w:rPr>
        <w:t>Chevallier</w:t>
      </w:r>
      <w:proofErr w:type="spellEnd"/>
      <w:r w:rsidR="00A30B8B" w:rsidRPr="00A90E5F">
        <w:rPr>
          <w:rFonts w:eastAsiaTheme="majorEastAsia"/>
          <w:iCs/>
          <w:sz w:val="22"/>
          <w:szCs w:val="22"/>
          <w:lang w:val="en-US" w:eastAsia="en-US"/>
        </w:rPr>
        <w:t xml:space="preserve"> classification):</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 xml:space="preserve">Patients achieving </w:t>
      </w:r>
      <w:proofErr w:type="spellStart"/>
      <w:r w:rsidR="00A30B8B" w:rsidRPr="00A90E5F">
        <w:rPr>
          <w:rFonts w:eastAsiaTheme="majorEastAsia"/>
          <w:iCs/>
          <w:sz w:val="22"/>
          <w:szCs w:val="22"/>
          <w:lang w:val="en-US" w:eastAsia="en-US"/>
        </w:rPr>
        <w:t>pCR</w:t>
      </w:r>
      <w:proofErr w:type="spellEnd"/>
      <w:r w:rsidR="00A30B8B" w:rsidRPr="00A90E5F">
        <w:rPr>
          <w:rFonts w:eastAsiaTheme="majorEastAsia"/>
          <w:iCs/>
          <w:sz w:val="22"/>
          <w:szCs w:val="22"/>
          <w:lang w:val="en-US" w:eastAsia="en-US"/>
        </w:rPr>
        <w:t xml:space="preserve"> or near</w:t>
      </w:r>
      <w:r w:rsidR="00903F5B" w:rsidRPr="00A90E5F">
        <w:rPr>
          <w:rFonts w:eastAsiaTheme="majorEastAsia"/>
          <w:iCs/>
          <w:sz w:val="22"/>
          <w:szCs w:val="22"/>
          <w:lang w:val="en-US" w:eastAsia="en-US"/>
        </w:rPr>
        <w:t>-</w:t>
      </w:r>
      <w:proofErr w:type="spellStart"/>
      <w:r w:rsidR="00A30B8B" w:rsidRPr="00A90E5F">
        <w:rPr>
          <w:rFonts w:eastAsiaTheme="majorEastAsia"/>
          <w:iCs/>
          <w:sz w:val="22"/>
          <w:szCs w:val="22"/>
          <w:lang w:val="en-US" w:eastAsia="en-US"/>
        </w:rPr>
        <w:t>pCR</w:t>
      </w:r>
      <w:proofErr w:type="spellEnd"/>
      <w:r w:rsidR="00A30B8B" w:rsidRPr="00A90E5F">
        <w:rPr>
          <w:rFonts w:eastAsiaTheme="majorEastAsia"/>
          <w:iCs/>
          <w:sz w:val="22"/>
          <w:szCs w:val="22"/>
          <w:lang w:val="en-US" w:eastAsia="en-US"/>
        </w:rPr>
        <w:t xml:space="preserve"> (grades 1</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2) had 100% EFS and OS at 3 years.</w:t>
      </w:r>
    </w:p>
    <w:p w14:paraId="66CFB090" w14:textId="7F5B11E9" w:rsidR="00A30B8B" w:rsidRPr="00A90E5F" w:rsidRDefault="00A30B8B"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Non</w:t>
      </w:r>
      <w:r w:rsidR="00903F5B" w:rsidRPr="00A90E5F">
        <w:rPr>
          <w:rFonts w:eastAsiaTheme="majorEastAsia"/>
          <w:iCs/>
          <w:sz w:val="22"/>
          <w:szCs w:val="22"/>
          <w:lang w:val="en-US" w:eastAsia="en-US"/>
        </w:rPr>
        <w:t>-</w:t>
      </w:r>
      <w:r w:rsidRPr="00A90E5F">
        <w:rPr>
          <w:rFonts w:eastAsiaTheme="majorEastAsia"/>
          <w:iCs/>
          <w:sz w:val="22"/>
          <w:szCs w:val="22"/>
          <w:lang w:val="en-US" w:eastAsia="en-US"/>
        </w:rPr>
        <w:t xml:space="preserve">responders (grade 4) had an EFS of only 80% and </w:t>
      </w:r>
      <w:r w:rsidR="00903F5B" w:rsidRPr="00A90E5F">
        <w:rPr>
          <w:rFonts w:eastAsiaTheme="majorEastAsia"/>
          <w:iCs/>
          <w:sz w:val="22"/>
          <w:szCs w:val="22"/>
          <w:lang w:val="en-US" w:eastAsia="en-US"/>
        </w:rPr>
        <w:t xml:space="preserve">an </w:t>
      </w:r>
      <w:r w:rsidRPr="00A90E5F">
        <w:rPr>
          <w:rFonts w:eastAsiaTheme="majorEastAsia"/>
          <w:iCs/>
          <w:sz w:val="22"/>
          <w:szCs w:val="22"/>
          <w:lang w:val="en-US" w:eastAsia="en-US"/>
        </w:rPr>
        <w:t>OS of 92.5% (p &lt; 0.05).</w:t>
      </w:r>
    </w:p>
    <w:p w14:paraId="48B57707" w14:textId="33D9506A"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3</w:t>
      </w:r>
      <w:r w:rsidRPr="00A90E5F">
        <w:rPr>
          <w:rFonts w:eastAsiaTheme="majorEastAsia"/>
          <w:iCs/>
          <w:sz w:val="22"/>
          <w:szCs w:val="22"/>
          <w:lang w:eastAsia="en-US"/>
        </w:rPr>
        <w:t>.6.</w:t>
      </w:r>
      <w:r w:rsidR="00A30B8B" w:rsidRPr="00A90E5F">
        <w:rPr>
          <w:rFonts w:eastAsiaTheme="majorEastAsia"/>
          <w:iCs/>
          <w:sz w:val="22"/>
          <w:szCs w:val="22"/>
          <w:lang w:val="en-US" w:eastAsia="en-US"/>
        </w:rPr>
        <w:t>2. Additional factors influencing EFS:</w:t>
      </w:r>
    </w:p>
    <w:p w14:paraId="0E420BEB" w14:textId="08069382"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Molecular subtype:</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Luminal A showed the most favorable prognosis (EFS/OS = 100%), while TNBC had the lowest EFS (84.4%) (p&lt; 0.05).</w:t>
      </w:r>
    </w:p>
    <w:p w14:paraId="04FB2ABE" w14:textId="1CF23BA5"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Chemotherapy regimen:</w:t>
      </w:r>
      <w:r w:rsidR="00A30B8B" w:rsidRPr="00A90E5F">
        <w:rPr>
          <w:rFonts w:eastAsiaTheme="majorEastAsia"/>
          <w:iCs/>
          <w:sz w:val="22"/>
          <w:szCs w:val="22"/>
          <w:lang w:eastAsia="en-US"/>
        </w:rPr>
        <w:t xml:space="preserve"> </w:t>
      </w:r>
      <w:r w:rsidR="00903F5B" w:rsidRPr="00A90E5F">
        <w:rPr>
          <w:rFonts w:eastAsiaTheme="majorEastAsia"/>
          <w:iCs/>
          <w:sz w:val="22"/>
          <w:szCs w:val="22"/>
          <w:lang w:val="en-US" w:eastAsia="en-US"/>
        </w:rPr>
        <w:t>The u</w:t>
      </w:r>
      <w:r w:rsidR="00A30B8B" w:rsidRPr="00A90E5F">
        <w:rPr>
          <w:rFonts w:eastAsiaTheme="majorEastAsia"/>
          <w:iCs/>
          <w:sz w:val="22"/>
          <w:szCs w:val="22"/>
          <w:lang w:val="en-US" w:eastAsia="en-US"/>
        </w:rPr>
        <w:t>se of anthracycline</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based and dose</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dense regimens was associated with improved EFS (94.1%) compared to non</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use (88.9%).</w:t>
      </w:r>
    </w:p>
    <w:p w14:paraId="3A4546E7" w14:textId="1D40886A" w:rsidR="00A30B8B" w:rsidRPr="00A90E5F" w:rsidRDefault="00FB0C01"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Treatment adherence:</w:t>
      </w:r>
      <w:r w:rsidR="00A30B8B" w:rsidRPr="00A90E5F">
        <w:rPr>
          <w:rFonts w:eastAsiaTheme="majorEastAsia"/>
          <w:iCs/>
          <w:sz w:val="22"/>
          <w:szCs w:val="22"/>
          <w:lang w:eastAsia="en-US"/>
        </w:rPr>
        <w:t xml:space="preserve"> </w:t>
      </w:r>
      <w:r w:rsidR="00A30B8B" w:rsidRPr="00A90E5F">
        <w:rPr>
          <w:rFonts w:eastAsiaTheme="majorEastAsia"/>
          <w:iCs/>
          <w:sz w:val="22"/>
          <w:szCs w:val="22"/>
          <w:lang w:val="en-US" w:eastAsia="en-US"/>
        </w:rPr>
        <w:t>Adherent patients had an EFS of 93.4%, while non</w:t>
      </w:r>
      <w:r w:rsidR="00903F5B" w:rsidRPr="00A90E5F">
        <w:rPr>
          <w:rFonts w:eastAsiaTheme="majorEastAsia"/>
          <w:iCs/>
          <w:sz w:val="22"/>
          <w:szCs w:val="22"/>
          <w:lang w:val="en-US" w:eastAsia="en-US"/>
        </w:rPr>
        <w:t>-</w:t>
      </w:r>
      <w:r w:rsidR="00A30B8B" w:rsidRPr="00A90E5F">
        <w:rPr>
          <w:rFonts w:eastAsiaTheme="majorEastAsia"/>
          <w:iCs/>
          <w:sz w:val="22"/>
          <w:szCs w:val="22"/>
          <w:lang w:val="en-US" w:eastAsia="en-US"/>
        </w:rPr>
        <w:t>adherent patients had an EFS of only 84.6% at 2 years (p &lt; 0.05).</w:t>
      </w:r>
    </w:p>
    <w:p w14:paraId="77A078FA" w14:textId="68B9E00A" w:rsidR="00A30B8B" w:rsidRPr="00A90E5F" w:rsidRDefault="00A30B8B" w:rsidP="00A90E5F">
      <w:pPr>
        <w:tabs>
          <w:tab w:val="left" w:pos="284"/>
        </w:tabs>
        <w:spacing w:line="340" w:lineRule="exact"/>
        <w:rPr>
          <w:rFonts w:eastAsiaTheme="majorEastAsia"/>
          <w:iCs/>
          <w:sz w:val="22"/>
          <w:szCs w:val="22"/>
          <w:lang w:val="en-US" w:eastAsia="en-US"/>
        </w:rPr>
      </w:pPr>
      <w:r w:rsidRPr="00A90E5F">
        <w:rPr>
          <w:rFonts w:eastAsiaTheme="majorEastAsia"/>
          <w:iCs/>
          <w:sz w:val="22"/>
          <w:szCs w:val="22"/>
          <w:lang w:val="en-US" w:eastAsia="en-US"/>
        </w:rPr>
        <w:t>Clinical response (RECIST):</w:t>
      </w:r>
      <w:r w:rsidRPr="00A90E5F">
        <w:rPr>
          <w:rFonts w:eastAsiaTheme="majorEastAsia"/>
          <w:iCs/>
          <w:sz w:val="22"/>
          <w:szCs w:val="22"/>
          <w:lang w:eastAsia="en-US"/>
        </w:rPr>
        <w:t xml:space="preserve"> </w:t>
      </w:r>
      <w:r w:rsidRPr="00A90E5F">
        <w:rPr>
          <w:rFonts w:eastAsiaTheme="majorEastAsia"/>
          <w:iCs/>
          <w:sz w:val="22"/>
          <w:szCs w:val="22"/>
          <w:lang w:val="en-US" w:eastAsia="en-US"/>
        </w:rPr>
        <w:t>Patients with complete clinical response (</w:t>
      </w:r>
      <w:proofErr w:type="spellStart"/>
      <w:r w:rsidRPr="00A90E5F">
        <w:rPr>
          <w:rFonts w:eastAsiaTheme="majorEastAsia"/>
          <w:iCs/>
          <w:sz w:val="22"/>
          <w:szCs w:val="22"/>
          <w:lang w:val="en-US" w:eastAsia="en-US"/>
        </w:rPr>
        <w:t>cCR</w:t>
      </w:r>
      <w:proofErr w:type="spellEnd"/>
      <w:r w:rsidRPr="00A90E5F">
        <w:rPr>
          <w:rFonts w:eastAsiaTheme="majorEastAsia"/>
          <w:iCs/>
          <w:sz w:val="22"/>
          <w:szCs w:val="22"/>
          <w:lang w:val="en-US" w:eastAsia="en-US"/>
        </w:rPr>
        <w:t>) had the highest EFS/OS (100%), whereas those with progressive disease (PD) had low EFS (63.6%).</w:t>
      </w:r>
    </w:p>
    <w:p w14:paraId="1EC4F31B" w14:textId="38BDE7F5" w:rsidR="001556E4" w:rsidRPr="00A90E5F" w:rsidRDefault="00A30B8B" w:rsidP="00A90E5F">
      <w:pPr>
        <w:tabs>
          <w:tab w:val="left" w:pos="284"/>
        </w:tabs>
        <w:spacing w:line="340" w:lineRule="exact"/>
        <w:rPr>
          <w:sz w:val="22"/>
          <w:szCs w:val="22"/>
        </w:rPr>
      </w:pPr>
      <w:r w:rsidRPr="00A90E5F">
        <w:rPr>
          <w:rFonts w:eastAsiaTheme="majorEastAsia"/>
          <w:iCs/>
          <w:sz w:val="22"/>
          <w:szCs w:val="22"/>
          <w:lang w:val="en-US" w:eastAsia="en-US"/>
        </w:rPr>
        <w:t>Post</w:t>
      </w:r>
      <w:r w:rsidR="00903F5B" w:rsidRPr="00A90E5F">
        <w:rPr>
          <w:rFonts w:eastAsiaTheme="majorEastAsia"/>
          <w:iCs/>
          <w:sz w:val="22"/>
          <w:szCs w:val="22"/>
          <w:lang w:val="en-US" w:eastAsia="en-US"/>
        </w:rPr>
        <w:t>-</w:t>
      </w:r>
      <w:r w:rsidRPr="00A90E5F">
        <w:rPr>
          <w:rFonts w:eastAsiaTheme="majorEastAsia"/>
          <w:iCs/>
          <w:sz w:val="22"/>
          <w:szCs w:val="22"/>
          <w:lang w:val="en-US" w:eastAsia="en-US"/>
        </w:rPr>
        <w:t>treatment nodal status (</w:t>
      </w:r>
      <w:proofErr w:type="spellStart"/>
      <w:r w:rsidRPr="00A90E5F">
        <w:rPr>
          <w:rFonts w:eastAsiaTheme="majorEastAsia"/>
          <w:iCs/>
          <w:sz w:val="22"/>
          <w:szCs w:val="22"/>
          <w:lang w:val="en-US" w:eastAsia="en-US"/>
        </w:rPr>
        <w:t>ypN</w:t>
      </w:r>
      <w:proofErr w:type="spellEnd"/>
      <w:r w:rsidRPr="00A90E5F">
        <w:rPr>
          <w:rFonts w:eastAsiaTheme="majorEastAsia"/>
          <w:iCs/>
          <w:sz w:val="22"/>
          <w:szCs w:val="22"/>
          <w:lang w:val="en-US" w:eastAsia="en-US"/>
        </w:rPr>
        <w:t>):</w:t>
      </w:r>
      <w:r w:rsidRPr="00A90E5F">
        <w:rPr>
          <w:rFonts w:eastAsiaTheme="majorEastAsia"/>
          <w:iCs/>
          <w:sz w:val="22"/>
          <w:szCs w:val="22"/>
          <w:lang w:eastAsia="en-US"/>
        </w:rPr>
        <w:t xml:space="preserve"> </w:t>
      </w:r>
      <w:r w:rsidRPr="00A90E5F">
        <w:rPr>
          <w:rFonts w:eastAsiaTheme="majorEastAsia"/>
          <w:iCs/>
          <w:sz w:val="22"/>
          <w:szCs w:val="22"/>
          <w:lang w:val="en-US" w:eastAsia="en-US"/>
        </w:rPr>
        <w:t>Associated with EFS; however, OS remained high during the first 3 years of follow</w:t>
      </w:r>
      <w:r w:rsidR="00903F5B" w:rsidRPr="00A90E5F">
        <w:rPr>
          <w:rFonts w:eastAsiaTheme="majorEastAsia"/>
          <w:iCs/>
          <w:sz w:val="22"/>
          <w:szCs w:val="22"/>
          <w:lang w:val="en-US" w:eastAsia="en-US"/>
        </w:rPr>
        <w:t>-</w:t>
      </w:r>
      <w:r w:rsidRPr="00A90E5F">
        <w:rPr>
          <w:rFonts w:eastAsiaTheme="majorEastAsia"/>
          <w:iCs/>
          <w:sz w:val="22"/>
          <w:szCs w:val="22"/>
          <w:lang w:val="en-US" w:eastAsia="en-US"/>
        </w:rPr>
        <w:t>up</w:t>
      </w:r>
      <w:r w:rsidR="00A7176D" w:rsidRPr="00A90E5F">
        <w:rPr>
          <w:sz w:val="22"/>
          <w:szCs w:val="22"/>
        </w:rPr>
        <w:t>.</w:t>
      </w:r>
    </w:p>
    <w:p w14:paraId="0948B099" w14:textId="1ED4E7CD" w:rsidR="00445E86" w:rsidRPr="00A90E5F" w:rsidRDefault="00445E86" w:rsidP="00A90E5F">
      <w:pPr>
        <w:tabs>
          <w:tab w:val="left" w:pos="284"/>
        </w:tabs>
        <w:spacing w:line="340" w:lineRule="exact"/>
        <w:rPr>
          <w:b/>
          <w:bCs/>
          <w:sz w:val="22"/>
          <w:szCs w:val="22"/>
          <w:lang w:val="en-US"/>
        </w:rPr>
      </w:pPr>
      <w:r w:rsidRPr="00A90E5F">
        <w:rPr>
          <w:b/>
          <w:bCs/>
          <w:sz w:val="22"/>
          <w:szCs w:val="22"/>
          <w:lang w:val="en-US"/>
        </w:rPr>
        <w:t xml:space="preserve">Chapter 4. </w:t>
      </w:r>
      <w:r w:rsidR="003960C7" w:rsidRPr="00A90E5F">
        <w:rPr>
          <w:b/>
          <w:bCs/>
          <w:sz w:val="22"/>
          <w:szCs w:val="22"/>
          <w:lang w:val="en-US"/>
        </w:rPr>
        <w:t>DISCUSSION</w:t>
      </w:r>
    </w:p>
    <w:p w14:paraId="44AB8080" w14:textId="77777777" w:rsidR="00445E86" w:rsidRPr="00A90E5F" w:rsidRDefault="00445E86" w:rsidP="00A90E5F">
      <w:pPr>
        <w:tabs>
          <w:tab w:val="left" w:pos="284"/>
        </w:tabs>
        <w:spacing w:line="340" w:lineRule="exact"/>
        <w:rPr>
          <w:b/>
          <w:bCs/>
          <w:sz w:val="22"/>
          <w:szCs w:val="22"/>
          <w:lang w:val="en-US"/>
        </w:rPr>
      </w:pPr>
      <w:r w:rsidRPr="00A90E5F">
        <w:rPr>
          <w:b/>
          <w:bCs/>
          <w:sz w:val="22"/>
          <w:szCs w:val="22"/>
          <w:lang w:val="en-US"/>
        </w:rPr>
        <w:t>4.1. Clinical and Paraclinical Characteristics of Stage III Invasive Breast Carcinoma Treated with Neoadjuvant Chemotherapy</w:t>
      </w:r>
    </w:p>
    <w:p w14:paraId="026D7AB5" w14:textId="4265A882" w:rsidR="00445E86" w:rsidRPr="00A90E5F" w:rsidRDefault="004559DD" w:rsidP="00A90E5F">
      <w:pPr>
        <w:tabs>
          <w:tab w:val="left" w:pos="284"/>
        </w:tabs>
        <w:spacing w:line="340" w:lineRule="exact"/>
        <w:rPr>
          <w:sz w:val="22"/>
          <w:szCs w:val="22"/>
          <w:lang w:val="en-US"/>
        </w:rPr>
      </w:pPr>
      <w:r w:rsidRPr="00A90E5F">
        <w:rPr>
          <w:sz w:val="22"/>
          <w:szCs w:val="22"/>
          <w:lang w:val="en-US"/>
        </w:rPr>
        <w:tab/>
      </w:r>
      <w:r w:rsidR="00445E86" w:rsidRPr="00A90E5F">
        <w:rPr>
          <w:sz w:val="22"/>
          <w:szCs w:val="22"/>
          <w:lang w:val="en-US"/>
        </w:rPr>
        <w:t xml:space="preserve">The patients had a mean age of 50.14 ± 11.6 years, with over half under 50, consistent with the early-onset pattern of breast cancer in Asia. Although most patients self-detected a breast mass, 60% presented more than three months later, leading to a high rate of locally advanced diagnoses. Comorbidities were present in 33.6%, and family </w:t>
      </w:r>
      <w:r w:rsidR="00445E86" w:rsidRPr="00A90E5F">
        <w:rPr>
          <w:sz w:val="22"/>
          <w:szCs w:val="22"/>
          <w:lang w:val="en-US"/>
        </w:rPr>
        <w:lastRenderedPageBreak/>
        <w:t>history of cancer was low (10.8%). Clinically, the tumors were predominantly located in the left breast (52.4%), mainly in the upper outer quadrant (54.0%). Tumor features (firm consistency, poor mobility, nipple retraction, skin adhesion) and regional lymphadenopathy (93.6%, with 39.6% showing fixation) reflected extensive local invasion and nodal metastasis. Imaging showed that solitary tumors were dominant, with sizes of 2–5 cm in 64.8% and &gt;5 cm in 28%. Microcalcifications (70.4%) and skin/chest wall infiltration (49.2%) were common in HER2-positive and advanced tumors. BI-RADS ≥5 was found in 66.8%, indicating a high suspicion of malignancy. Histologically, invasive carcinoma of no special type (NST) accounted for 83.2%, mostly grade II (44.8%). Immunohistochemically, 67.2% were ER-positive and 42.4% HER2-positive—indicative of a biologically active tumor profile in this cohort. Clinical staging revealed cT4 in 62.4% and cN2 in 69.2%, with stages IIIB and IIIC comprising nearly 70%. Molecular subtypes were mainly Luminal B (55.6%) and HER2-positive (20.0%), while Luminal A was less common (11.6%), reflecting the aggressive biology typical of locally advanced breast cancer in Vietnam.</w:t>
      </w:r>
    </w:p>
    <w:p w14:paraId="3D091AD1" w14:textId="77777777" w:rsidR="00445E86" w:rsidRPr="00A90E5F" w:rsidRDefault="00445E86" w:rsidP="00A90E5F">
      <w:pPr>
        <w:tabs>
          <w:tab w:val="left" w:pos="284"/>
        </w:tabs>
        <w:spacing w:line="340" w:lineRule="exact"/>
        <w:rPr>
          <w:b/>
          <w:bCs/>
          <w:sz w:val="22"/>
          <w:szCs w:val="22"/>
          <w:lang w:val="en-US"/>
        </w:rPr>
      </w:pPr>
      <w:r w:rsidRPr="00A90E5F">
        <w:rPr>
          <w:b/>
          <w:bCs/>
          <w:sz w:val="22"/>
          <w:szCs w:val="22"/>
          <w:lang w:val="en-US"/>
        </w:rPr>
        <w:t>4.2. Treatment Outcomes After Neoadjuvant Chemotherapy and Surgery</w:t>
      </w:r>
    </w:p>
    <w:p w14:paraId="21568C16" w14:textId="77777777" w:rsidR="00445E86" w:rsidRPr="00A90E5F" w:rsidRDefault="00445E86" w:rsidP="00A90E5F">
      <w:pPr>
        <w:tabs>
          <w:tab w:val="left" w:pos="284"/>
        </w:tabs>
        <w:spacing w:line="340" w:lineRule="exact"/>
        <w:rPr>
          <w:b/>
          <w:bCs/>
          <w:i/>
          <w:iCs/>
          <w:sz w:val="22"/>
          <w:szCs w:val="22"/>
          <w:lang w:val="en-US"/>
        </w:rPr>
      </w:pPr>
      <w:r w:rsidRPr="00A90E5F">
        <w:rPr>
          <w:b/>
          <w:bCs/>
          <w:i/>
          <w:iCs/>
          <w:sz w:val="22"/>
          <w:szCs w:val="22"/>
          <w:lang w:val="en-US"/>
        </w:rPr>
        <w:t>4.2.1. Efficacy of Neoadjuvant Chemotherapy</w:t>
      </w:r>
    </w:p>
    <w:p w14:paraId="1048EF67" w14:textId="7B673B94" w:rsidR="00445E86" w:rsidRPr="00A90E5F" w:rsidRDefault="004559DD" w:rsidP="00A90E5F">
      <w:pPr>
        <w:tabs>
          <w:tab w:val="left" w:pos="284"/>
        </w:tabs>
        <w:spacing w:line="340" w:lineRule="exact"/>
        <w:rPr>
          <w:sz w:val="22"/>
          <w:szCs w:val="22"/>
          <w:lang w:val="en-US"/>
        </w:rPr>
      </w:pPr>
      <w:r w:rsidRPr="00A90E5F">
        <w:rPr>
          <w:sz w:val="22"/>
          <w:szCs w:val="22"/>
          <w:lang w:val="en-US"/>
        </w:rPr>
        <w:tab/>
      </w:r>
      <w:r w:rsidR="00445E86" w:rsidRPr="00A90E5F">
        <w:rPr>
          <w:sz w:val="22"/>
          <w:szCs w:val="22"/>
          <w:lang w:val="en-US"/>
        </w:rPr>
        <w:t xml:space="preserve">Most patients received anthracycline-based regimens (82%), with 4AC–4T being the most common (62%), aligning with current standard recommendations. Dose-dense chemotherapy was applied in 44%, reflecting efforts to intensify treatment for advanced disease. </w:t>
      </w:r>
      <w:r w:rsidR="00445E86" w:rsidRPr="00A90E5F">
        <w:rPr>
          <w:sz w:val="22"/>
          <w:szCs w:val="22"/>
          <w:lang w:val="en-US"/>
        </w:rPr>
        <w:lastRenderedPageBreak/>
        <w:t>Clinical response was substantial: tumor size reduced from 5.22 cm to 1.63 cm, and nodal size from 17.3 mm to 3.77 mm. According to RECIST 1.1, 47 patients achieved complete clinical response (</w:t>
      </w:r>
      <w:proofErr w:type="spellStart"/>
      <w:r w:rsidR="00445E86" w:rsidRPr="00A90E5F">
        <w:rPr>
          <w:sz w:val="22"/>
          <w:szCs w:val="22"/>
          <w:lang w:val="en-US"/>
        </w:rPr>
        <w:t>cCR</w:t>
      </w:r>
      <w:proofErr w:type="spellEnd"/>
      <w:r w:rsidR="00445E86" w:rsidRPr="00A90E5F">
        <w:rPr>
          <w:sz w:val="22"/>
          <w:szCs w:val="22"/>
          <w:lang w:val="en-US"/>
        </w:rPr>
        <w:t>), underscoring the role of neoadjuvant chemotherapy in enabling curative surgery. Adverse effects were mostly mild and manageable, including anemia and grade 1–2 hepatotoxicity. Severe toxicities and anaphylaxis were rare. The high treatment adherence rate (89.6%) indicates good tolerability of the regimens.</w:t>
      </w:r>
    </w:p>
    <w:p w14:paraId="5914F9DD" w14:textId="77777777" w:rsidR="00445E86" w:rsidRPr="00A90E5F" w:rsidRDefault="00445E86" w:rsidP="00A90E5F">
      <w:pPr>
        <w:tabs>
          <w:tab w:val="left" w:pos="284"/>
        </w:tabs>
        <w:spacing w:line="340" w:lineRule="exact"/>
        <w:rPr>
          <w:b/>
          <w:bCs/>
          <w:i/>
          <w:iCs/>
          <w:sz w:val="22"/>
          <w:szCs w:val="22"/>
          <w:lang w:val="en-US"/>
        </w:rPr>
      </w:pPr>
      <w:r w:rsidRPr="00A90E5F">
        <w:rPr>
          <w:b/>
          <w:bCs/>
          <w:i/>
          <w:iCs/>
          <w:sz w:val="22"/>
          <w:szCs w:val="22"/>
          <w:lang w:val="en-US"/>
        </w:rPr>
        <w:t>4.2.2. Surgical Outcomes and Technical Safety</w:t>
      </w:r>
    </w:p>
    <w:p w14:paraId="14C27D03" w14:textId="2574AC66" w:rsidR="00445E86" w:rsidRPr="00A90E5F" w:rsidRDefault="004066A1" w:rsidP="00A90E5F">
      <w:pPr>
        <w:tabs>
          <w:tab w:val="left" w:pos="284"/>
        </w:tabs>
        <w:spacing w:line="340" w:lineRule="exact"/>
        <w:rPr>
          <w:sz w:val="22"/>
          <w:szCs w:val="22"/>
          <w:lang w:val="en-US"/>
        </w:rPr>
      </w:pPr>
      <w:r>
        <w:rPr>
          <w:sz w:val="22"/>
          <w:szCs w:val="22"/>
          <w:lang w:val="en-US"/>
        </w:rPr>
        <w:tab/>
      </w:r>
      <w:r w:rsidR="00445E86" w:rsidRPr="00A90E5F">
        <w:rPr>
          <w:sz w:val="22"/>
          <w:szCs w:val="22"/>
          <w:lang w:val="en-US"/>
        </w:rPr>
        <w:t xml:space="preserve">MRM was the predominant approach, reflecting real-world practice in Vietnam, where breast conservation is limited by large tumor size, multifocality, skin/nodal involvement, and infrastructural constraints. The average operative time was 96.98 ± 26.61 minutes. Simple MRM accounted for 78% (89.72 ± 16.24 min), MRM with laparoscopic oophorectomy for 20.8%, and MRM with immediate reconstruction for 1.6%. Surgical procedures followed standardized techniques, including skin-breast-muscle dissection, preservation of long thoracic (90.4%) and medial pectoral nerves (94%), careful hemostasis, and accurate placement of vacuum drainage. Intraoperatively: 71.2% had mobile tumors; 74% were easy to dissect; 30% had muscular adhesions/infiltration; and 30.4% had mild bleeding. The mean number of axillary nodes removed was 11.06; mean skin incision length was 18.18 cm; mean drainage volume on day 1 was 74 mL; mean drainage duration was 4.6 days. All patients achieved R0 resection. Mean suture removal time was 9.13 days. Postoperative complications were low: 77.2% had none, 18.4% had </w:t>
      </w:r>
      <w:r w:rsidR="00445E86" w:rsidRPr="00A90E5F">
        <w:rPr>
          <w:sz w:val="22"/>
          <w:szCs w:val="22"/>
          <w:lang w:val="en-US"/>
        </w:rPr>
        <w:lastRenderedPageBreak/>
        <w:t>grade I (mild seroma, paresthesia, edema), and 4.4% had grade II (seroma requiring aspiration). No severe complications (</w:t>
      </w:r>
      <w:proofErr w:type="spellStart"/>
      <w:r w:rsidR="00445E86" w:rsidRPr="00A90E5F">
        <w:rPr>
          <w:sz w:val="22"/>
          <w:szCs w:val="22"/>
          <w:lang w:val="en-US"/>
        </w:rPr>
        <w:t>Clavien-Dindo</w:t>
      </w:r>
      <w:proofErr w:type="spellEnd"/>
      <w:r w:rsidR="00445E86" w:rsidRPr="00A90E5F">
        <w:rPr>
          <w:sz w:val="22"/>
          <w:szCs w:val="22"/>
          <w:lang w:val="en-US"/>
        </w:rPr>
        <w:t xml:space="preserve"> grade III–V) or postoperative deaths were recorded. Effective multidisciplinary management contributed to favorable recovery. Functionally, most patients reported mild edema (83.6%) and moderate postoperative pain (VAS 3–4 in 96%), without major limitations. Cases with necrotic/infected tumors were also successfully managed, demonstrating the importance of timely surgical intervention. Overall, MRM proved to be a feasible and safe surgical option with high radicality, good complication control, and favorable recovery when performed after neoadjuvant chemotherapy in stage III breast cancer.</w:t>
      </w:r>
    </w:p>
    <w:p w14:paraId="04429AE2" w14:textId="77777777" w:rsidR="00445E86" w:rsidRPr="00A90E5F" w:rsidRDefault="00445E86" w:rsidP="00A90E5F">
      <w:pPr>
        <w:tabs>
          <w:tab w:val="left" w:pos="284"/>
        </w:tabs>
        <w:spacing w:line="340" w:lineRule="exact"/>
        <w:rPr>
          <w:b/>
          <w:bCs/>
          <w:i/>
          <w:iCs/>
          <w:sz w:val="22"/>
          <w:szCs w:val="22"/>
          <w:lang w:val="en-US"/>
        </w:rPr>
      </w:pPr>
      <w:r w:rsidRPr="00A90E5F">
        <w:rPr>
          <w:b/>
          <w:bCs/>
          <w:i/>
          <w:iCs/>
          <w:sz w:val="22"/>
          <w:szCs w:val="22"/>
          <w:lang w:val="en-US"/>
        </w:rPr>
        <w:t>4.2.3. Pathological Response and Post-treatment Staging</w:t>
      </w:r>
    </w:p>
    <w:p w14:paraId="0A3C8BD3" w14:textId="5EF51659" w:rsidR="00445E86" w:rsidRPr="00A90E5F" w:rsidRDefault="004559DD" w:rsidP="00A90E5F">
      <w:pPr>
        <w:tabs>
          <w:tab w:val="left" w:pos="284"/>
        </w:tabs>
        <w:spacing w:line="340" w:lineRule="exact"/>
        <w:rPr>
          <w:sz w:val="22"/>
          <w:szCs w:val="22"/>
          <w:lang w:val="en-US"/>
        </w:rPr>
      </w:pPr>
      <w:r w:rsidRPr="00A90E5F">
        <w:rPr>
          <w:sz w:val="22"/>
          <w:szCs w:val="22"/>
          <w:lang w:val="en-US"/>
        </w:rPr>
        <w:tab/>
      </w:r>
      <w:r w:rsidR="00445E86" w:rsidRPr="00A90E5F">
        <w:rPr>
          <w:sz w:val="22"/>
          <w:szCs w:val="22"/>
          <w:lang w:val="en-US"/>
        </w:rPr>
        <w:t>The pathological complete response (</w:t>
      </w:r>
      <w:proofErr w:type="spellStart"/>
      <w:r w:rsidR="00445E86" w:rsidRPr="00A90E5F">
        <w:rPr>
          <w:sz w:val="22"/>
          <w:szCs w:val="22"/>
          <w:lang w:val="en-US"/>
        </w:rPr>
        <w:t>pCR</w:t>
      </w:r>
      <w:proofErr w:type="spellEnd"/>
      <w:r w:rsidR="00445E86" w:rsidRPr="00A90E5F">
        <w:rPr>
          <w:sz w:val="22"/>
          <w:szCs w:val="22"/>
          <w:lang w:val="en-US"/>
        </w:rPr>
        <w:t xml:space="preserve"> – grade 1) rate was 18.4%, increasing to 22% when near-complete response (grade 2) was included. These are relatively favorable outcomes for stage III breast cancer, where </w:t>
      </w:r>
      <w:proofErr w:type="spellStart"/>
      <w:r w:rsidR="00445E86" w:rsidRPr="00A90E5F">
        <w:rPr>
          <w:sz w:val="22"/>
          <w:szCs w:val="22"/>
          <w:lang w:val="en-US"/>
        </w:rPr>
        <w:t>pCR</w:t>
      </w:r>
      <w:proofErr w:type="spellEnd"/>
      <w:r w:rsidR="00445E86" w:rsidRPr="00A90E5F">
        <w:rPr>
          <w:sz w:val="22"/>
          <w:szCs w:val="22"/>
          <w:lang w:val="en-US"/>
        </w:rPr>
        <w:t xml:space="preserve"> rates are generally lower than in earlier stages. Higher </w:t>
      </w:r>
      <w:proofErr w:type="spellStart"/>
      <w:r w:rsidR="00445E86" w:rsidRPr="00A90E5F">
        <w:rPr>
          <w:sz w:val="22"/>
          <w:szCs w:val="22"/>
          <w:lang w:val="en-US"/>
        </w:rPr>
        <w:t>pCR</w:t>
      </w:r>
      <w:proofErr w:type="spellEnd"/>
      <w:r w:rsidR="00445E86" w:rsidRPr="00A90E5F">
        <w:rPr>
          <w:sz w:val="22"/>
          <w:szCs w:val="22"/>
          <w:lang w:val="en-US"/>
        </w:rPr>
        <w:t xml:space="preserve"> rates were observed in HER2-positive (44%) and triple-negative breast cancer (TNBC, 31.25%), consistent with their known biological characteristics. Post-treatment staging showed significant improvement: ypT0 in 22% and ypN0 in 52.8%, indicating effective local and regional control. About 24.4% achieved stage 0 (ypT0/isN0), and nearly 50% were </w:t>
      </w:r>
      <w:proofErr w:type="spellStart"/>
      <w:r w:rsidR="00445E86" w:rsidRPr="00A90E5F">
        <w:rPr>
          <w:sz w:val="22"/>
          <w:szCs w:val="22"/>
          <w:lang w:val="en-US"/>
        </w:rPr>
        <w:t>downstaged</w:t>
      </w:r>
      <w:proofErr w:type="spellEnd"/>
      <w:r w:rsidR="00445E86" w:rsidRPr="00A90E5F">
        <w:rPr>
          <w:sz w:val="22"/>
          <w:szCs w:val="22"/>
          <w:lang w:val="en-US"/>
        </w:rPr>
        <w:t xml:space="preserve"> to stages I–II. These results have important prognostic implications and provide a favorable basis for adjuvant therapy.</w:t>
      </w:r>
    </w:p>
    <w:p w14:paraId="4FCCC836" w14:textId="77777777" w:rsidR="00445E86" w:rsidRPr="00A90E5F" w:rsidRDefault="00445E86" w:rsidP="00A90E5F">
      <w:pPr>
        <w:tabs>
          <w:tab w:val="left" w:pos="284"/>
        </w:tabs>
        <w:spacing w:line="340" w:lineRule="exact"/>
        <w:rPr>
          <w:b/>
          <w:bCs/>
          <w:i/>
          <w:iCs/>
          <w:sz w:val="22"/>
          <w:szCs w:val="22"/>
          <w:lang w:val="en-US"/>
        </w:rPr>
      </w:pPr>
      <w:r w:rsidRPr="00A90E5F">
        <w:rPr>
          <w:b/>
          <w:bCs/>
          <w:i/>
          <w:iCs/>
          <w:sz w:val="22"/>
          <w:szCs w:val="22"/>
          <w:lang w:val="en-US"/>
        </w:rPr>
        <w:t>4.2.4. Survival Outcomes and Prognostic Factors</w:t>
      </w:r>
    </w:p>
    <w:p w14:paraId="7E29A00C" w14:textId="5CEF2F43" w:rsidR="00445E86" w:rsidRPr="00A90E5F" w:rsidRDefault="004559DD" w:rsidP="00A90E5F">
      <w:pPr>
        <w:tabs>
          <w:tab w:val="left" w:pos="284"/>
        </w:tabs>
        <w:spacing w:line="340" w:lineRule="exact"/>
        <w:rPr>
          <w:sz w:val="22"/>
          <w:szCs w:val="22"/>
          <w:lang w:val="en-US"/>
        </w:rPr>
      </w:pPr>
      <w:r w:rsidRPr="00A90E5F">
        <w:rPr>
          <w:sz w:val="22"/>
          <w:szCs w:val="22"/>
          <w:lang w:val="en-US"/>
        </w:rPr>
        <w:lastRenderedPageBreak/>
        <w:tab/>
      </w:r>
      <w:r w:rsidR="00445E86" w:rsidRPr="00A90E5F">
        <w:rPr>
          <w:sz w:val="22"/>
          <w:szCs w:val="22"/>
          <w:lang w:val="en-US"/>
        </w:rPr>
        <w:t xml:space="preserve">The 3-year event-free survival (EFS) and overall survival (OS) rates were 93.2% and 98.0%, respectively, indicating excellent overall outcomes. Most events occurred within the first two years and were predominantly distant metastases (lung, brain), reflecting the aggressive biology of certain molecular subtypes. The two strongest prognostic factors were clinical stage and pathological response. EFS in stage IIIC was only 77.3%, significantly lower than in stage IIIA (98.8%). Patients achieving </w:t>
      </w:r>
      <w:proofErr w:type="spellStart"/>
      <w:r w:rsidR="00445E86" w:rsidRPr="00A90E5F">
        <w:rPr>
          <w:sz w:val="22"/>
          <w:szCs w:val="22"/>
          <w:lang w:val="en-US"/>
        </w:rPr>
        <w:t>pCR</w:t>
      </w:r>
      <w:proofErr w:type="spellEnd"/>
      <w:r w:rsidR="00445E86" w:rsidRPr="00A90E5F">
        <w:rPr>
          <w:sz w:val="22"/>
          <w:szCs w:val="22"/>
          <w:lang w:val="en-US"/>
        </w:rPr>
        <w:t xml:space="preserve"> or near-</w:t>
      </w:r>
      <w:proofErr w:type="spellStart"/>
      <w:r w:rsidR="00445E86" w:rsidRPr="00A90E5F">
        <w:rPr>
          <w:sz w:val="22"/>
          <w:szCs w:val="22"/>
          <w:lang w:val="en-US"/>
        </w:rPr>
        <w:t>pCR</w:t>
      </w:r>
      <w:proofErr w:type="spellEnd"/>
      <w:r w:rsidR="00445E86" w:rsidRPr="00A90E5F">
        <w:rPr>
          <w:sz w:val="22"/>
          <w:szCs w:val="22"/>
          <w:lang w:val="en-US"/>
        </w:rPr>
        <w:t xml:space="preserve"> had 100% EFS and OS, whereas non-responders (</w:t>
      </w:r>
      <w:proofErr w:type="spellStart"/>
      <w:r w:rsidR="00445E86" w:rsidRPr="00A90E5F">
        <w:rPr>
          <w:sz w:val="22"/>
          <w:szCs w:val="22"/>
          <w:lang w:val="en-US"/>
        </w:rPr>
        <w:t>Chevallier</w:t>
      </w:r>
      <w:proofErr w:type="spellEnd"/>
      <w:r w:rsidR="00445E86" w:rsidRPr="00A90E5F">
        <w:rPr>
          <w:sz w:val="22"/>
          <w:szCs w:val="22"/>
          <w:lang w:val="en-US"/>
        </w:rPr>
        <w:t xml:space="preserve"> grade 4) had lower EFS (80%) and OS (92.5%). Other relevant factors included: - Molecular subtype: Luminal A had the best prognosis (EFS/OS = 100%); TNBC had the poorest (EFS = 84.4%). - Chemotherapy regimen: Patients receiving anthracyclines and dose-dense regimens had better EFS (94.1% vs. 88.9%). - Treatment adherence: EFS was higher in compliant patients (93.4% vs. 84.6%). - Clinical response (RECIST) and nodal status (</w:t>
      </w:r>
      <w:proofErr w:type="spellStart"/>
      <w:r w:rsidR="00445E86" w:rsidRPr="00A90E5F">
        <w:rPr>
          <w:sz w:val="22"/>
          <w:szCs w:val="22"/>
          <w:lang w:val="en-US"/>
        </w:rPr>
        <w:t>ypN</w:t>
      </w:r>
      <w:proofErr w:type="spellEnd"/>
      <w:r w:rsidR="00445E86" w:rsidRPr="00A90E5F">
        <w:rPr>
          <w:sz w:val="22"/>
          <w:szCs w:val="22"/>
          <w:lang w:val="en-US"/>
        </w:rPr>
        <w:t>) also influenced EFS, though OS remained high over 3 years.</w:t>
      </w:r>
    </w:p>
    <w:p w14:paraId="1DEDE3CC" w14:textId="5D45017B" w:rsidR="00445E86" w:rsidRPr="00A90E5F" w:rsidRDefault="00445E86" w:rsidP="004066A1">
      <w:pPr>
        <w:tabs>
          <w:tab w:val="left" w:pos="284"/>
        </w:tabs>
        <w:spacing w:line="340" w:lineRule="exact"/>
        <w:jc w:val="center"/>
        <w:rPr>
          <w:b/>
          <w:bCs/>
          <w:sz w:val="22"/>
          <w:szCs w:val="22"/>
          <w:lang w:val="en-US"/>
        </w:rPr>
      </w:pPr>
      <w:r w:rsidRPr="00A90E5F">
        <w:rPr>
          <w:b/>
          <w:bCs/>
          <w:sz w:val="22"/>
          <w:szCs w:val="22"/>
          <w:lang w:val="en-US"/>
        </w:rPr>
        <w:t>CONCLUSION</w:t>
      </w:r>
    </w:p>
    <w:p w14:paraId="5AA52F56" w14:textId="27D81EAA" w:rsidR="003E218B" w:rsidRPr="003E218B" w:rsidRDefault="00BB39D6" w:rsidP="003E218B">
      <w:pPr>
        <w:tabs>
          <w:tab w:val="left" w:pos="284"/>
        </w:tabs>
        <w:spacing w:line="340" w:lineRule="exact"/>
        <w:rPr>
          <w:sz w:val="22"/>
          <w:szCs w:val="22"/>
          <w:lang w:val="en-US"/>
        </w:rPr>
      </w:pPr>
      <w:r>
        <w:rPr>
          <w:sz w:val="22"/>
          <w:szCs w:val="22"/>
          <w:lang w:val="en-US"/>
        </w:rPr>
        <w:tab/>
      </w:r>
      <w:r w:rsidR="003E218B" w:rsidRPr="003E218B">
        <w:rPr>
          <w:sz w:val="22"/>
          <w:szCs w:val="22"/>
          <w:lang w:val="en-US"/>
        </w:rPr>
        <w:t xml:space="preserve">From the study of 250 patients with </w:t>
      </w:r>
      <w:r w:rsidR="00E3331F">
        <w:rPr>
          <w:sz w:val="22"/>
          <w:szCs w:val="22"/>
          <w:lang w:val="en-US"/>
        </w:rPr>
        <w:t>BC</w:t>
      </w:r>
      <w:r w:rsidR="00E3331F">
        <w:rPr>
          <w:sz w:val="22"/>
          <w:szCs w:val="22"/>
        </w:rPr>
        <w:t xml:space="preserve"> </w:t>
      </w:r>
      <w:r w:rsidR="003E218B" w:rsidRPr="003E218B">
        <w:rPr>
          <w:sz w:val="22"/>
          <w:szCs w:val="22"/>
          <w:lang w:val="en-US"/>
        </w:rPr>
        <w:t xml:space="preserve">stage III invasive breast cancer treated with surgery after </w:t>
      </w:r>
      <w:r w:rsidR="00E3331F">
        <w:rPr>
          <w:sz w:val="22"/>
          <w:szCs w:val="22"/>
          <w:lang w:val="en-US"/>
        </w:rPr>
        <w:t>NAC</w:t>
      </w:r>
      <w:r w:rsidR="00E3331F">
        <w:rPr>
          <w:sz w:val="22"/>
          <w:szCs w:val="22"/>
        </w:rPr>
        <w:t xml:space="preserve"> </w:t>
      </w:r>
      <w:r w:rsidR="003E218B" w:rsidRPr="003E218B">
        <w:rPr>
          <w:sz w:val="22"/>
          <w:szCs w:val="22"/>
          <w:lang w:val="en-US"/>
        </w:rPr>
        <w:t>at K Hospital (08/2021 – 06/2024), we draw the following conclusions:</w:t>
      </w:r>
    </w:p>
    <w:p w14:paraId="0E15D122" w14:textId="21FD9E2F" w:rsidR="003E218B" w:rsidRPr="003E218B" w:rsidRDefault="003E218B" w:rsidP="003E218B">
      <w:pPr>
        <w:tabs>
          <w:tab w:val="left" w:pos="284"/>
        </w:tabs>
        <w:spacing w:line="340" w:lineRule="exact"/>
        <w:rPr>
          <w:b/>
          <w:bCs/>
          <w:sz w:val="22"/>
          <w:szCs w:val="22"/>
          <w:lang w:val="en-US"/>
        </w:rPr>
      </w:pPr>
      <w:r w:rsidRPr="003E218B">
        <w:rPr>
          <w:b/>
          <w:bCs/>
          <w:sz w:val="22"/>
          <w:szCs w:val="22"/>
          <w:lang w:val="en-US"/>
        </w:rPr>
        <w:t xml:space="preserve">1. </w:t>
      </w:r>
      <w:r w:rsidR="00E01AAE" w:rsidRPr="00E01AAE">
        <w:rPr>
          <w:b/>
          <w:bCs/>
          <w:sz w:val="22"/>
          <w:szCs w:val="22"/>
          <w:lang w:val="en-US"/>
        </w:rPr>
        <w:t>Clinical and paraclinical characteristics of stage III breast cancer patients</w:t>
      </w:r>
    </w:p>
    <w:p w14:paraId="1DBE4F7E" w14:textId="7D9235C8" w:rsidR="003B4529" w:rsidRPr="003B4529" w:rsidRDefault="00B37E4F" w:rsidP="003B4529">
      <w:pPr>
        <w:tabs>
          <w:tab w:val="left" w:pos="284"/>
        </w:tabs>
        <w:spacing w:line="340" w:lineRule="exact"/>
        <w:rPr>
          <w:sz w:val="22"/>
          <w:szCs w:val="22"/>
          <w:lang w:val="en-US"/>
        </w:rPr>
      </w:pPr>
      <w:r>
        <w:rPr>
          <w:sz w:val="22"/>
          <w:szCs w:val="22"/>
          <w:lang w:val="en-US"/>
        </w:rPr>
        <w:tab/>
      </w:r>
      <w:r w:rsidR="003B4529" w:rsidRPr="003B4529">
        <w:rPr>
          <w:sz w:val="22"/>
          <w:szCs w:val="22"/>
          <w:lang w:val="en-US"/>
        </w:rPr>
        <w:t xml:space="preserve">Most patients were diagnosed at an advanced stage (mean age 50.1 years, over half &lt;50). The majority detected tumors themselves (87.6%), yet 60% presented &gt;3 months after onset, reflecting limited screening and awareness. Tumors were more common in the left </w:t>
      </w:r>
      <w:r w:rsidR="003B4529" w:rsidRPr="003B4529">
        <w:rPr>
          <w:sz w:val="22"/>
          <w:szCs w:val="22"/>
          <w:lang w:val="en-US"/>
        </w:rPr>
        <w:lastRenderedPageBreak/>
        <w:t>breast, especially the upper outer quadrant, often firm, with peritumoral infiltration (34%). Clinically positive axillary nodes were found in 82%, one-third fixed, indicating local advancement. Imaging showed aggressive features (BI-RADS ≥5 in 66.8%, microcalcifications &gt;70%). Histology was mainly invasive carcinoma NST (83.2%), mostly high grade; Luminal B predominated, but HER2-positive and TNBC also represented a notable share. Nearly half were stage IIIB (46.8%), confirming advanced presentation.</w:t>
      </w:r>
    </w:p>
    <w:p w14:paraId="647520F3" w14:textId="77777777" w:rsidR="003B4529" w:rsidRDefault="003B4529" w:rsidP="003B4529">
      <w:pPr>
        <w:tabs>
          <w:tab w:val="left" w:pos="284"/>
        </w:tabs>
        <w:spacing w:line="340" w:lineRule="exact"/>
        <w:rPr>
          <w:sz w:val="22"/>
          <w:szCs w:val="22"/>
          <w:lang w:val="en-US"/>
        </w:rPr>
      </w:pPr>
      <w:r w:rsidRPr="003B4529">
        <w:rPr>
          <w:rFonts w:ascii="Cambria Math" w:hAnsi="Cambria Math" w:cs="Cambria Math"/>
          <w:sz w:val="22"/>
          <w:szCs w:val="22"/>
          <w:lang w:val="en-US"/>
        </w:rPr>
        <w:t>⇒</w:t>
      </w:r>
      <w:r w:rsidRPr="003B4529">
        <w:rPr>
          <w:sz w:val="22"/>
          <w:szCs w:val="22"/>
          <w:lang w:val="en-US"/>
        </w:rPr>
        <w:t xml:space="preserve"> These findings show that stage III breast cancer patients in this study were typically diagnosed late with extensive, complex lesions, underscoring the need for individualized and multimodal treatment strategies.</w:t>
      </w:r>
    </w:p>
    <w:p w14:paraId="0326FDA1" w14:textId="66159154" w:rsidR="003E218B" w:rsidRPr="003E218B" w:rsidRDefault="003E218B" w:rsidP="003B4529">
      <w:pPr>
        <w:tabs>
          <w:tab w:val="left" w:pos="284"/>
        </w:tabs>
        <w:spacing w:line="340" w:lineRule="exact"/>
        <w:rPr>
          <w:b/>
          <w:bCs/>
          <w:sz w:val="22"/>
          <w:szCs w:val="22"/>
          <w:lang w:val="en-US"/>
        </w:rPr>
      </w:pPr>
      <w:r w:rsidRPr="003E218B">
        <w:rPr>
          <w:b/>
          <w:bCs/>
          <w:sz w:val="22"/>
          <w:szCs w:val="22"/>
          <w:lang w:val="en-US"/>
        </w:rPr>
        <w:t xml:space="preserve">2. </w:t>
      </w:r>
      <w:r w:rsidR="00B06234" w:rsidRPr="00B06234">
        <w:rPr>
          <w:b/>
          <w:bCs/>
          <w:sz w:val="22"/>
          <w:szCs w:val="22"/>
          <w:lang w:val="en-US"/>
        </w:rPr>
        <w:t>Surgical outcomes after neoadjuvant chemotherapy and related prognostic factors</w:t>
      </w:r>
    </w:p>
    <w:p w14:paraId="209F5B15" w14:textId="3C435149" w:rsidR="00B37E4F" w:rsidRPr="00B37E4F" w:rsidRDefault="00B37E4F" w:rsidP="00B37E4F">
      <w:pPr>
        <w:tabs>
          <w:tab w:val="left" w:pos="284"/>
        </w:tabs>
        <w:spacing w:line="340" w:lineRule="exact"/>
        <w:rPr>
          <w:sz w:val="22"/>
          <w:szCs w:val="22"/>
          <w:lang w:val="en-US"/>
        </w:rPr>
      </w:pPr>
      <w:r>
        <w:rPr>
          <w:sz w:val="22"/>
          <w:szCs w:val="22"/>
          <w:lang w:val="en-US"/>
        </w:rPr>
        <w:tab/>
      </w:r>
      <w:r w:rsidRPr="00B37E4F">
        <w:rPr>
          <w:sz w:val="22"/>
          <w:szCs w:val="22"/>
          <w:lang w:val="en-US"/>
        </w:rPr>
        <w:t>Neoadjuvant chemotherapy (NACT) proved effective, with 4AC–4T being the most common regimen (62%) and 44% receiving dose-dense treatment. Completion rate was high (89.6%), toxicity low, and no grade 4–5 events. Clinical complete response reached 18.8%</w:t>
      </w:r>
      <w:r>
        <w:rPr>
          <w:sz w:val="22"/>
          <w:szCs w:val="22"/>
        </w:rPr>
        <w:t xml:space="preserve"> </w:t>
      </w:r>
      <w:r w:rsidRPr="00B37E4F">
        <w:rPr>
          <w:sz w:val="22"/>
          <w:szCs w:val="22"/>
          <w:lang w:val="en-US"/>
        </w:rPr>
        <w:t>and pathological complete response (</w:t>
      </w:r>
      <w:proofErr w:type="spellStart"/>
      <w:r w:rsidRPr="00B37E4F">
        <w:rPr>
          <w:sz w:val="22"/>
          <w:szCs w:val="22"/>
          <w:lang w:val="en-US"/>
        </w:rPr>
        <w:t>pCR</w:t>
      </w:r>
      <w:proofErr w:type="spellEnd"/>
      <w:r w:rsidRPr="00B37E4F">
        <w:rPr>
          <w:sz w:val="22"/>
          <w:szCs w:val="22"/>
          <w:lang w:val="en-US"/>
        </w:rPr>
        <w:t>) 24.4%.</w:t>
      </w:r>
    </w:p>
    <w:p w14:paraId="1C75FCCA" w14:textId="77777777" w:rsidR="00B37E4F" w:rsidRPr="00B37E4F" w:rsidRDefault="00B37E4F" w:rsidP="00B37E4F">
      <w:pPr>
        <w:tabs>
          <w:tab w:val="left" w:pos="284"/>
        </w:tabs>
        <w:spacing w:line="340" w:lineRule="exact"/>
        <w:rPr>
          <w:sz w:val="22"/>
          <w:szCs w:val="22"/>
          <w:lang w:val="en-US"/>
        </w:rPr>
      </w:pPr>
      <w:r w:rsidRPr="00B37E4F">
        <w:rPr>
          <w:sz w:val="22"/>
          <w:szCs w:val="22"/>
          <w:lang w:val="en-US"/>
        </w:rPr>
        <w:t xml:space="preserve">All patients underwent modified radical mastectomy (MRM): 78% standard, 20.8% with oophorectomy, 1.6% with immediate reconstruction. Complete axillary dissection was achieved in 99.6% (mean &gt;11 nodes), mean operative time was 97 minutes, with preservation of most axillary nerves. Postoperative complications were mainly mild (18.4% grade I; 4.4% grade II), and no severe </w:t>
      </w:r>
      <w:r w:rsidRPr="00B37E4F">
        <w:rPr>
          <w:sz w:val="22"/>
          <w:szCs w:val="22"/>
          <w:lang w:val="en-US"/>
        </w:rPr>
        <w:lastRenderedPageBreak/>
        <w:t>complications occurred. At 3 years, event-free survival (EFS) was 93.2% and overall survival (OS) 98%.</w:t>
      </w:r>
    </w:p>
    <w:p w14:paraId="51D2E2E5" w14:textId="77777777" w:rsidR="00B37E4F" w:rsidRPr="00B37E4F" w:rsidRDefault="00B37E4F" w:rsidP="00B37E4F">
      <w:pPr>
        <w:tabs>
          <w:tab w:val="left" w:pos="284"/>
        </w:tabs>
        <w:spacing w:line="340" w:lineRule="exact"/>
        <w:rPr>
          <w:sz w:val="22"/>
          <w:szCs w:val="22"/>
          <w:lang w:val="en-US"/>
        </w:rPr>
      </w:pPr>
      <w:r w:rsidRPr="00B37E4F">
        <w:rPr>
          <w:sz w:val="22"/>
          <w:szCs w:val="22"/>
          <w:lang w:val="en-US"/>
        </w:rPr>
        <w:t xml:space="preserve">Favorable prognosis was associated with </w:t>
      </w:r>
      <w:proofErr w:type="spellStart"/>
      <w:r w:rsidRPr="00B37E4F">
        <w:rPr>
          <w:sz w:val="22"/>
          <w:szCs w:val="22"/>
          <w:lang w:val="en-US"/>
        </w:rPr>
        <w:t>pCR</w:t>
      </w:r>
      <w:proofErr w:type="spellEnd"/>
      <w:r w:rsidRPr="00B37E4F">
        <w:rPr>
          <w:sz w:val="22"/>
          <w:szCs w:val="22"/>
          <w:lang w:val="en-US"/>
        </w:rPr>
        <w:t>, ypN0, Luminal A subtype, and full treatment compliance. Poorer outcomes were linked to TNBC (EFS 84.4%; OS 93.8%), residual nodal disease, stage IIIC, and high histological grade.</w:t>
      </w:r>
    </w:p>
    <w:p w14:paraId="41216E1A" w14:textId="77777777" w:rsidR="00D8565D" w:rsidRDefault="00B37E4F" w:rsidP="00B37E4F">
      <w:pPr>
        <w:tabs>
          <w:tab w:val="left" w:pos="284"/>
        </w:tabs>
        <w:spacing w:line="340" w:lineRule="exact"/>
        <w:rPr>
          <w:sz w:val="22"/>
          <w:szCs w:val="22"/>
          <w:lang w:val="en-US"/>
        </w:rPr>
      </w:pPr>
      <w:r w:rsidRPr="00B37E4F">
        <w:rPr>
          <w:rFonts w:ascii="Cambria Math" w:hAnsi="Cambria Math" w:cs="Cambria Math"/>
          <w:sz w:val="22"/>
          <w:szCs w:val="22"/>
          <w:lang w:val="en-US"/>
        </w:rPr>
        <w:t>⇒</w:t>
      </w:r>
      <w:r w:rsidRPr="00B37E4F">
        <w:rPr>
          <w:sz w:val="22"/>
          <w:szCs w:val="22"/>
          <w:lang w:val="en-US"/>
        </w:rPr>
        <w:t xml:space="preserve"> MRM after NACT is safe and effective for stage III breast cancer. </w:t>
      </w:r>
      <w:proofErr w:type="spellStart"/>
      <w:r w:rsidRPr="00B37E4F">
        <w:rPr>
          <w:sz w:val="22"/>
          <w:szCs w:val="22"/>
          <w:lang w:val="en-US"/>
        </w:rPr>
        <w:t>pCR</w:t>
      </w:r>
      <w:proofErr w:type="spellEnd"/>
      <w:r w:rsidRPr="00B37E4F">
        <w:rPr>
          <w:sz w:val="22"/>
          <w:szCs w:val="22"/>
          <w:lang w:val="en-US"/>
        </w:rPr>
        <w:t xml:space="preserve"> and ypN0 are strong prognostic markers, while TNBC and incomplete responders require close follow-up and individualized management.</w:t>
      </w:r>
    </w:p>
    <w:p w14:paraId="704CF3FC" w14:textId="29AF3217" w:rsidR="00445E86" w:rsidRPr="00A90E5F" w:rsidRDefault="00445E86" w:rsidP="00D8565D">
      <w:pPr>
        <w:tabs>
          <w:tab w:val="left" w:pos="284"/>
        </w:tabs>
        <w:spacing w:line="340" w:lineRule="exact"/>
        <w:jc w:val="center"/>
        <w:rPr>
          <w:b/>
          <w:bCs/>
          <w:sz w:val="22"/>
          <w:szCs w:val="22"/>
          <w:lang w:val="en-US"/>
        </w:rPr>
      </w:pPr>
      <w:r w:rsidRPr="00A90E5F">
        <w:rPr>
          <w:b/>
          <w:bCs/>
          <w:sz w:val="22"/>
          <w:szCs w:val="22"/>
          <w:lang w:val="en-US"/>
        </w:rPr>
        <w:t>RECOMMENDATIONS</w:t>
      </w:r>
    </w:p>
    <w:p w14:paraId="5338ECC7" w14:textId="77777777" w:rsidR="00445E86" w:rsidRPr="00A90E5F" w:rsidRDefault="00445E86" w:rsidP="00A90E5F">
      <w:pPr>
        <w:tabs>
          <w:tab w:val="left" w:pos="284"/>
        </w:tabs>
        <w:spacing w:line="340" w:lineRule="exact"/>
        <w:rPr>
          <w:sz w:val="22"/>
          <w:szCs w:val="22"/>
          <w:lang w:val="en-US"/>
        </w:rPr>
      </w:pPr>
      <w:r w:rsidRPr="00A90E5F">
        <w:rPr>
          <w:sz w:val="22"/>
          <w:szCs w:val="22"/>
          <w:lang w:val="en-US"/>
        </w:rPr>
        <w:t>- Neoadjuvant chemotherapy should prioritize anthracycline–</w:t>
      </w:r>
      <w:proofErr w:type="spellStart"/>
      <w:r w:rsidRPr="00A90E5F">
        <w:rPr>
          <w:sz w:val="22"/>
          <w:szCs w:val="22"/>
          <w:lang w:val="en-US"/>
        </w:rPr>
        <w:t>taxane</w:t>
      </w:r>
      <w:proofErr w:type="spellEnd"/>
      <w:r w:rsidRPr="00A90E5F">
        <w:rPr>
          <w:sz w:val="22"/>
          <w:szCs w:val="22"/>
          <w:lang w:val="en-US"/>
        </w:rPr>
        <w:t xml:space="preserve"> regimens (e.g., 4AC–4T, 4AC–4TH, 4FEC–4P); dose-dense if feasible; ≥8 cycles recommended. Early reassessment is essential to modify regimen or indicate surgery for non-responders.</w:t>
      </w:r>
    </w:p>
    <w:p w14:paraId="49E06D3A" w14:textId="77777777" w:rsidR="00445E86" w:rsidRPr="00A90E5F" w:rsidRDefault="00445E86" w:rsidP="00A90E5F">
      <w:pPr>
        <w:tabs>
          <w:tab w:val="left" w:pos="284"/>
        </w:tabs>
        <w:spacing w:line="340" w:lineRule="exact"/>
        <w:rPr>
          <w:sz w:val="22"/>
          <w:szCs w:val="22"/>
          <w:lang w:val="en-US"/>
        </w:rPr>
      </w:pPr>
      <w:r w:rsidRPr="00A90E5F">
        <w:rPr>
          <w:sz w:val="22"/>
          <w:szCs w:val="22"/>
          <w:lang w:val="en-US"/>
        </w:rPr>
        <w:t>- Post-treatment surgery should be individualized. MRM remains appropriate in Vietnam; SLNB or TAD may be used in good responders to reduce complications. Surgical safety principles must be followed to avoid nerve injury and lymphedema.</w:t>
      </w:r>
    </w:p>
    <w:p w14:paraId="41CB293B" w14:textId="77777777" w:rsidR="00445E86" w:rsidRPr="00A90E5F" w:rsidRDefault="00445E86" w:rsidP="00A90E5F">
      <w:pPr>
        <w:tabs>
          <w:tab w:val="left" w:pos="284"/>
        </w:tabs>
        <w:spacing w:line="340" w:lineRule="exact"/>
        <w:rPr>
          <w:sz w:val="22"/>
          <w:szCs w:val="22"/>
          <w:lang w:val="en-US"/>
        </w:rPr>
      </w:pPr>
      <w:r w:rsidRPr="00A90E5F">
        <w:rPr>
          <w:sz w:val="22"/>
          <w:szCs w:val="22"/>
          <w:lang w:val="en-US"/>
        </w:rPr>
        <w:t>- Close monitoring and adjuvant treatment, especially during the first two years, is essential. Consider additional chemotherapy or immunotherapy in TNBC, stage IIIC, or non-</w:t>
      </w:r>
      <w:proofErr w:type="spellStart"/>
      <w:r w:rsidRPr="00A90E5F">
        <w:rPr>
          <w:sz w:val="22"/>
          <w:szCs w:val="22"/>
          <w:lang w:val="en-US"/>
        </w:rPr>
        <w:t>pCR</w:t>
      </w:r>
      <w:proofErr w:type="spellEnd"/>
      <w:r w:rsidRPr="00A90E5F">
        <w:rPr>
          <w:sz w:val="22"/>
          <w:szCs w:val="22"/>
          <w:lang w:val="en-US"/>
        </w:rPr>
        <w:t xml:space="preserve"> cases.</w:t>
      </w:r>
    </w:p>
    <w:p w14:paraId="76799D78" w14:textId="20C302AE" w:rsidR="00445E86" w:rsidRPr="00A90E5F" w:rsidRDefault="00445E86" w:rsidP="00A90E5F">
      <w:pPr>
        <w:tabs>
          <w:tab w:val="left" w:pos="284"/>
        </w:tabs>
        <w:spacing w:line="340" w:lineRule="exact"/>
        <w:rPr>
          <w:sz w:val="22"/>
          <w:szCs w:val="22"/>
        </w:rPr>
      </w:pPr>
      <w:r w:rsidRPr="00A90E5F">
        <w:rPr>
          <w:sz w:val="22"/>
          <w:szCs w:val="22"/>
          <w:lang w:val="en-US"/>
        </w:rPr>
        <w:t xml:space="preserve">- Future research should focus on evaluating modern adjuvant strategies and the long-term prognostic value of </w:t>
      </w:r>
      <w:proofErr w:type="spellStart"/>
      <w:r w:rsidRPr="00A90E5F">
        <w:rPr>
          <w:sz w:val="22"/>
          <w:szCs w:val="22"/>
          <w:lang w:val="en-US"/>
        </w:rPr>
        <w:t>pCR</w:t>
      </w:r>
      <w:proofErr w:type="spellEnd"/>
      <w:r w:rsidRPr="00A90E5F">
        <w:rPr>
          <w:sz w:val="22"/>
          <w:szCs w:val="22"/>
          <w:lang w:val="en-US"/>
        </w:rPr>
        <w:t xml:space="preserve"> by molecular subtype.</w:t>
      </w:r>
      <w:bookmarkStart w:id="32" w:name="_Toc73093151"/>
      <w:bookmarkStart w:id="33" w:name="_Toc73558331"/>
      <w:bookmarkStart w:id="34" w:name="_Toc73559192"/>
      <w:bookmarkStart w:id="35" w:name="_Toc73559298"/>
      <w:bookmarkStart w:id="36" w:name="_Toc73736969"/>
      <w:bookmarkStart w:id="37" w:name="_Toc77164256"/>
    </w:p>
    <w:p w14:paraId="221AB7DC" w14:textId="77777777" w:rsidR="00EA6AD9" w:rsidRPr="00A90E5F" w:rsidRDefault="00EA6AD9" w:rsidP="00A90E5F">
      <w:pPr>
        <w:tabs>
          <w:tab w:val="left" w:pos="284"/>
        </w:tabs>
        <w:spacing w:line="340" w:lineRule="exact"/>
        <w:rPr>
          <w:sz w:val="22"/>
          <w:szCs w:val="22"/>
        </w:rPr>
        <w:sectPr w:rsidR="00EA6AD9" w:rsidRPr="00A90E5F" w:rsidSect="00D8089C">
          <w:headerReference w:type="default" r:id="rId9"/>
          <w:footerReference w:type="default" r:id="rId10"/>
          <w:pgSz w:w="8392" w:h="11907" w:code="11"/>
          <w:pgMar w:top="1134" w:right="1134" w:bottom="1134" w:left="1134" w:header="720" w:footer="720" w:gutter="0"/>
          <w:pgNumType w:start="1"/>
          <w:cols w:space="720"/>
          <w:docGrid w:linePitch="360"/>
        </w:sectPr>
      </w:pPr>
    </w:p>
    <w:p w14:paraId="771E7176" w14:textId="137DC868" w:rsidR="00692932" w:rsidRPr="00DA1CDC" w:rsidRDefault="008D1B6E" w:rsidP="00DA1CDC">
      <w:pPr>
        <w:tabs>
          <w:tab w:val="left" w:pos="284"/>
        </w:tabs>
        <w:spacing w:line="340" w:lineRule="exact"/>
        <w:jc w:val="center"/>
        <w:rPr>
          <w:b/>
          <w:bCs/>
          <w:sz w:val="22"/>
          <w:szCs w:val="22"/>
          <w:lang w:eastAsia="en-US"/>
        </w:rPr>
      </w:pPr>
      <w:bookmarkStart w:id="38" w:name="_Toc198145817"/>
      <w:r w:rsidRPr="00DA1CDC">
        <w:rPr>
          <w:b/>
          <w:bCs/>
          <w:sz w:val="22"/>
          <w:szCs w:val="22"/>
          <w:lang w:eastAsia="en-US"/>
        </w:rPr>
        <w:lastRenderedPageBreak/>
        <w:t>LIST OF AUTHORS' RESEARCH WORKS</w:t>
      </w:r>
      <w:bookmarkEnd w:id="38"/>
    </w:p>
    <w:p w14:paraId="259638B2" w14:textId="252BB65A" w:rsidR="00692932" w:rsidRPr="00A90E5F" w:rsidRDefault="0084699A" w:rsidP="00A90E5F">
      <w:pPr>
        <w:tabs>
          <w:tab w:val="left" w:pos="284"/>
        </w:tabs>
        <w:spacing w:line="340" w:lineRule="exact"/>
        <w:rPr>
          <w:b/>
          <w:bCs/>
          <w:sz w:val="22"/>
          <w:szCs w:val="22"/>
          <w:lang w:eastAsia="en-US"/>
        </w:rPr>
      </w:pPr>
      <w:bookmarkStart w:id="39" w:name="_Toc185232823"/>
      <w:r w:rsidRPr="00A90E5F">
        <w:rPr>
          <w:b/>
          <w:bCs/>
          <w:sz w:val="22"/>
          <w:szCs w:val="22"/>
          <w:lang w:eastAsia="en-US"/>
        </w:rPr>
        <w:t xml:space="preserve">        PUBLISHED RELATED TO THE THESIS TOPIC</w:t>
      </w:r>
      <w:bookmarkEnd w:id="39"/>
    </w:p>
    <w:p w14:paraId="5CA26A6E" w14:textId="77777777" w:rsidR="00692932" w:rsidRPr="00A90E5F" w:rsidRDefault="00692932" w:rsidP="00A90E5F">
      <w:pPr>
        <w:tabs>
          <w:tab w:val="left" w:pos="284"/>
        </w:tabs>
        <w:spacing w:line="340" w:lineRule="exact"/>
        <w:rPr>
          <w:sz w:val="22"/>
          <w:szCs w:val="22"/>
          <w:lang w:val="en-US" w:eastAsia="en-US"/>
        </w:rPr>
      </w:pPr>
    </w:p>
    <w:p w14:paraId="1CC518A3" w14:textId="7C11B0D5" w:rsidR="00905A08" w:rsidRPr="00A90E5F" w:rsidRDefault="00692932" w:rsidP="007C6B10">
      <w:pPr>
        <w:spacing w:line="340" w:lineRule="exact"/>
        <w:ind w:left="284" w:hanging="284"/>
        <w:rPr>
          <w:sz w:val="22"/>
          <w:szCs w:val="22"/>
          <w:lang w:eastAsia="en-US"/>
        </w:rPr>
      </w:pPr>
      <w:r w:rsidRPr="00A90E5F">
        <w:rPr>
          <w:sz w:val="22"/>
          <w:szCs w:val="22"/>
          <w:lang w:eastAsia="en-US"/>
        </w:rPr>
        <w:t>1. Thien, Nguyen Truong, Quang, Le Hong and Trung, Nguyen Ngoc (2024). Results response of neoadjuvant chemotherapy for stage III breast carcinoma at Viet Nam National Cancer Hospital. Biomedical Research and Therapy, 11(11), 6923</w:t>
      </w:r>
      <w:r w:rsidR="00903F5B" w:rsidRPr="00A90E5F">
        <w:rPr>
          <w:sz w:val="22"/>
          <w:szCs w:val="22"/>
          <w:lang w:eastAsia="en-US"/>
        </w:rPr>
        <w:t>-</w:t>
      </w:r>
      <w:r w:rsidRPr="00A90E5F">
        <w:rPr>
          <w:sz w:val="22"/>
          <w:szCs w:val="22"/>
          <w:lang w:eastAsia="en-US"/>
        </w:rPr>
        <w:t>6931. https://doi.org/10.15419/bmrat.v11i11.938</w:t>
      </w:r>
    </w:p>
    <w:p w14:paraId="44111C87" w14:textId="313E2720" w:rsidR="00534B0A" w:rsidRPr="00BA422D" w:rsidRDefault="00534B0A" w:rsidP="00BA422D">
      <w:pPr>
        <w:spacing w:line="340" w:lineRule="exact"/>
        <w:ind w:left="284" w:hanging="284"/>
        <w:rPr>
          <w:color w:val="auto"/>
          <w:sz w:val="22"/>
          <w:szCs w:val="22"/>
          <w:lang w:eastAsia="en-US"/>
        </w:rPr>
      </w:pPr>
      <w:r w:rsidRPr="00A90E5F">
        <w:rPr>
          <w:sz w:val="22"/>
          <w:szCs w:val="22"/>
          <w:lang w:eastAsia="en-US"/>
        </w:rPr>
        <w:t>2</w:t>
      </w:r>
      <w:r w:rsidRPr="00BA422D">
        <w:rPr>
          <w:spacing w:val="-6"/>
          <w:sz w:val="22"/>
          <w:szCs w:val="22"/>
          <w:lang w:eastAsia="en-US"/>
        </w:rPr>
        <w:t>. Nguyen Truong Thien, Le Hong Quang and Nguyen Ngoc Trung (2025). Clinical and subclinical characteristics of patients with stage III breast carcinoma treated with neoadjuvant chemotherapy and surgery at K Hospital. Journal of Military Medicine and Pharmacy,50(1),111</w:t>
      </w:r>
      <w:r w:rsidR="00903F5B" w:rsidRPr="00BA422D">
        <w:rPr>
          <w:spacing w:val="-6"/>
          <w:sz w:val="22"/>
          <w:szCs w:val="22"/>
          <w:lang w:eastAsia="en-US"/>
        </w:rPr>
        <w:t>-</w:t>
      </w:r>
      <w:r w:rsidRPr="00BA422D">
        <w:rPr>
          <w:spacing w:val="-6"/>
          <w:sz w:val="22"/>
          <w:szCs w:val="22"/>
          <w:lang w:eastAsia="en-US"/>
        </w:rPr>
        <w:t>120.</w:t>
      </w:r>
      <w:r w:rsidR="00BA422D" w:rsidRPr="00BA422D">
        <w:rPr>
          <w:spacing w:val="-6"/>
          <w:sz w:val="22"/>
          <w:szCs w:val="22"/>
          <w:lang w:eastAsia="en-US"/>
        </w:rPr>
        <w:t xml:space="preserve"> </w:t>
      </w:r>
      <w:hyperlink r:id="rId11" w:history="1">
        <w:r w:rsidR="00BA422D" w:rsidRPr="00BA422D">
          <w:rPr>
            <w:rStyle w:val="Hyperlink"/>
            <w:color w:val="auto"/>
            <w:spacing w:val="-6"/>
            <w:sz w:val="22"/>
            <w:szCs w:val="22"/>
            <w:u w:val="none"/>
            <w:lang w:eastAsia="en-US"/>
          </w:rPr>
          <w:t>https: // doi.org /10.56535/ jmpm.v 50i1. 1006</w:t>
        </w:r>
      </w:hyperlink>
    </w:p>
    <w:p w14:paraId="35D31CF3" w14:textId="5C75B8D0" w:rsidR="008655CA" w:rsidRPr="00A90E5F" w:rsidRDefault="008655CA" w:rsidP="007C6B10">
      <w:pPr>
        <w:spacing w:line="340" w:lineRule="exact"/>
        <w:ind w:left="284" w:hanging="284"/>
        <w:rPr>
          <w:sz w:val="22"/>
          <w:szCs w:val="22"/>
          <w:lang w:eastAsia="en-US"/>
        </w:rPr>
      </w:pPr>
      <w:r w:rsidRPr="00A90E5F">
        <w:rPr>
          <w:sz w:val="22"/>
          <w:szCs w:val="22"/>
          <w:lang w:eastAsia="en-US"/>
        </w:rPr>
        <w:t>3. Nguyen Truong Thien, Le Hong Quang and Nguyen Ngoc Trung (2025). Evaluation of clinical and histopathological responses in stage III breast cancer neoadjuvant and surgical treatment at K Hospital. Journal of Clinical Medicine and Pharmacology 108, Volume 20, No. 4/2025</w:t>
      </w:r>
      <w:r w:rsidR="00BA422D" w:rsidRPr="00BA422D">
        <w:rPr>
          <w:sz w:val="22"/>
          <w:szCs w:val="22"/>
          <w:lang w:eastAsia="en-US"/>
        </w:rPr>
        <w:t>: 82–90. doi:10.52389/ydls.v20i4.2703.</w:t>
      </w:r>
    </w:p>
    <w:p w14:paraId="077C9CAC" w14:textId="101E6B2A" w:rsidR="00EA6AD9" w:rsidRPr="00A90E5F" w:rsidRDefault="00EA6AD9" w:rsidP="00A90E5F">
      <w:pPr>
        <w:tabs>
          <w:tab w:val="left" w:pos="284"/>
        </w:tabs>
        <w:spacing w:line="340" w:lineRule="exact"/>
        <w:rPr>
          <w:sz w:val="22"/>
          <w:szCs w:val="22"/>
          <w:lang w:eastAsia="en-US"/>
        </w:rPr>
      </w:pPr>
    </w:p>
    <w:bookmarkEnd w:id="32"/>
    <w:bookmarkEnd w:id="33"/>
    <w:bookmarkEnd w:id="34"/>
    <w:bookmarkEnd w:id="35"/>
    <w:bookmarkEnd w:id="36"/>
    <w:bookmarkEnd w:id="37"/>
    <w:p w14:paraId="09D76AD8" w14:textId="4F0B411E" w:rsidR="00EA6AD9" w:rsidRPr="00A90E5F" w:rsidRDefault="00EA6AD9" w:rsidP="00A90E5F">
      <w:pPr>
        <w:tabs>
          <w:tab w:val="left" w:pos="284"/>
        </w:tabs>
        <w:spacing w:line="340" w:lineRule="exact"/>
        <w:rPr>
          <w:sz w:val="22"/>
          <w:szCs w:val="22"/>
          <w:lang w:eastAsia="en-US"/>
        </w:rPr>
      </w:pPr>
    </w:p>
    <w:sectPr w:rsidR="00EA6AD9" w:rsidRPr="00A90E5F" w:rsidSect="007A5712">
      <w:headerReference w:type="default" r:id="rId12"/>
      <w:pgSz w:w="8392" w:h="11907" w:code="11"/>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4B562" w14:textId="77777777" w:rsidR="004D1793" w:rsidRDefault="004D1793" w:rsidP="00F1308D">
      <w:pPr>
        <w:spacing w:line="240" w:lineRule="auto"/>
      </w:pPr>
      <w:r>
        <w:separator/>
      </w:r>
    </w:p>
    <w:p w14:paraId="175F3144" w14:textId="77777777" w:rsidR="004D1793" w:rsidRDefault="004D1793"/>
  </w:endnote>
  <w:endnote w:type="continuationSeparator" w:id="0">
    <w:p w14:paraId="0C7F7156" w14:textId="77777777" w:rsidR="004D1793" w:rsidRDefault="004D1793" w:rsidP="00F1308D">
      <w:pPr>
        <w:spacing w:line="240" w:lineRule="auto"/>
      </w:pPr>
      <w:r>
        <w:continuationSeparator/>
      </w:r>
    </w:p>
    <w:p w14:paraId="102BB3AE" w14:textId="77777777" w:rsidR="004D1793" w:rsidRDefault="004D1793"/>
  </w:endnote>
  <w:endnote w:type="continuationNotice" w:id="1">
    <w:p w14:paraId="3ED50B0E" w14:textId="77777777" w:rsidR="004D1793" w:rsidRDefault="004D1793">
      <w:pPr>
        <w:spacing w:line="240" w:lineRule="auto"/>
      </w:pPr>
    </w:p>
    <w:p w14:paraId="0E15E989" w14:textId="77777777" w:rsidR="004D1793" w:rsidRDefault="004D1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B80A" w14:textId="77777777" w:rsidR="00F9486B" w:rsidRDefault="00F9486B" w:rsidP="00F9486B">
    <w:pPr>
      <w:pStyle w:val="Footer"/>
      <w:tabs>
        <w:tab w:val="clear" w:pos="4513"/>
        <w:tab w:val="clear" w:pos="9026"/>
        <w:tab w:val="left" w:pos="62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8D89" w14:textId="5AE4B22B" w:rsidR="001E4B77" w:rsidRDefault="001E4B77">
    <w:pPr>
      <w:pStyle w:val="Footer"/>
      <w:jc w:val="center"/>
    </w:pPr>
  </w:p>
  <w:p w14:paraId="02444951" w14:textId="44D3526A" w:rsidR="00802790" w:rsidRDefault="00802790" w:rsidP="00CC387C">
    <w:pPr>
      <w:pStyle w:val="Footer"/>
      <w:tabs>
        <w:tab w:val="clear" w:pos="4513"/>
        <w:tab w:val="clear" w:pos="9026"/>
        <w:tab w:val="left" w:pos="510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F21C" w14:textId="77777777" w:rsidR="004D1793" w:rsidRDefault="004D1793" w:rsidP="00F1308D">
      <w:pPr>
        <w:spacing w:line="240" w:lineRule="auto"/>
      </w:pPr>
      <w:r>
        <w:separator/>
      </w:r>
    </w:p>
    <w:p w14:paraId="2391ECB9" w14:textId="77777777" w:rsidR="004D1793" w:rsidRDefault="004D1793"/>
  </w:footnote>
  <w:footnote w:type="continuationSeparator" w:id="0">
    <w:p w14:paraId="3730A1CA" w14:textId="77777777" w:rsidR="004D1793" w:rsidRDefault="004D1793" w:rsidP="00F1308D">
      <w:pPr>
        <w:spacing w:line="240" w:lineRule="auto"/>
      </w:pPr>
      <w:r>
        <w:continuationSeparator/>
      </w:r>
    </w:p>
    <w:p w14:paraId="5FBB8884" w14:textId="77777777" w:rsidR="004D1793" w:rsidRDefault="004D1793"/>
  </w:footnote>
  <w:footnote w:type="continuationNotice" w:id="1">
    <w:p w14:paraId="63A88162" w14:textId="77777777" w:rsidR="004D1793" w:rsidRDefault="004D1793">
      <w:pPr>
        <w:spacing w:line="240" w:lineRule="auto"/>
      </w:pPr>
    </w:p>
    <w:p w14:paraId="52786B63" w14:textId="77777777" w:rsidR="004D1793" w:rsidRDefault="004D1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407991"/>
      <w:docPartObj>
        <w:docPartGallery w:val="Page Numbers (Top of Page)"/>
        <w:docPartUnique/>
      </w:docPartObj>
    </w:sdtPr>
    <w:sdtEndPr>
      <w:rPr>
        <w:noProof/>
        <w:sz w:val="22"/>
        <w:szCs w:val="22"/>
      </w:rPr>
    </w:sdtEndPr>
    <w:sdtContent>
      <w:p w14:paraId="2720EDA2" w14:textId="710FA2DB" w:rsidR="00802790" w:rsidRPr="00D8187C" w:rsidRDefault="00905A08" w:rsidP="00D8187C">
        <w:pPr>
          <w:pStyle w:val="Header"/>
          <w:jc w:val="center"/>
          <w:rPr>
            <w:sz w:val="22"/>
            <w:szCs w:val="22"/>
          </w:rPr>
        </w:pPr>
        <w:r w:rsidRPr="00ED00CC">
          <w:rPr>
            <w:sz w:val="22"/>
            <w:szCs w:val="22"/>
          </w:rPr>
          <w:fldChar w:fldCharType="begin"/>
        </w:r>
        <w:r w:rsidRPr="00ED00CC">
          <w:rPr>
            <w:sz w:val="22"/>
            <w:szCs w:val="22"/>
          </w:rPr>
          <w:instrText xml:space="preserve"> PAGE   \* MERGEFORMAT </w:instrText>
        </w:r>
        <w:r w:rsidRPr="00ED00CC">
          <w:rPr>
            <w:sz w:val="22"/>
            <w:szCs w:val="22"/>
          </w:rPr>
          <w:fldChar w:fldCharType="separate"/>
        </w:r>
        <w:r w:rsidRPr="00ED00CC">
          <w:rPr>
            <w:noProof/>
            <w:sz w:val="22"/>
            <w:szCs w:val="22"/>
          </w:rPr>
          <w:t>2</w:t>
        </w:r>
        <w:r w:rsidRPr="00ED00CC">
          <w:rPr>
            <w:noProof/>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12E89" w14:textId="393B4459" w:rsidR="00CC387C" w:rsidRPr="00D8187C" w:rsidRDefault="00CC387C" w:rsidP="00D8187C">
    <w:pPr>
      <w:pStyle w:val="Header"/>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B60F3"/>
    <w:multiLevelType w:val="multilevel"/>
    <w:tmpl w:val="FC2CF014"/>
    <w:styleLink w:val="Style2"/>
    <w:lvl w:ilvl="0">
      <w:start w:val="2"/>
      <w:numFmt w:val="decimal"/>
      <w:suff w:val="space"/>
      <w:lvlText w:val="CHƯƠNG %1."/>
      <w:lvlJc w:val="left"/>
      <w:pPr>
        <w:ind w:left="0" w:firstLine="8646"/>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decimal"/>
      <w:suff w:val="space"/>
      <w:lvlText w:val="%1.%2.%3.%4."/>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suff w:val="space"/>
      <w:lvlText w:val="%1.%2.%3.%4.%5."/>
      <w:lvlJc w:val="left"/>
      <w:pPr>
        <w:ind w:left="357" w:hanging="357"/>
      </w:pPr>
      <w:rPr>
        <w:rFonts w:ascii="Calibri" w:hAnsi="Calibri" w:cs="Calibri" w:hint="default"/>
      </w:rPr>
    </w:lvl>
    <w:lvl w:ilvl="5">
      <w:start w:val="1"/>
      <w:numFmt w:val="decimal"/>
      <w:isLgl/>
      <w:lvlText w:val="%1.%2.%3.%4.%5.%6."/>
      <w:lvlJc w:val="left"/>
      <w:pPr>
        <w:ind w:left="357" w:hanging="357"/>
      </w:pPr>
      <w:rPr>
        <w:rFonts w:ascii="Calibri" w:hAnsi="Calibri" w:cs="Calibri" w:hint="default"/>
      </w:rPr>
    </w:lvl>
    <w:lvl w:ilvl="6">
      <w:start w:val="1"/>
      <w:numFmt w:val="decimal"/>
      <w:isLgl/>
      <w:lvlText w:val="%1.%2.%3.%4.%5.%6.%7."/>
      <w:lvlJc w:val="left"/>
      <w:pPr>
        <w:ind w:left="357" w:hanging="357"/>
      </w:pPr>
      <w:rPr>
        <w:rFonts w:ascii="Calibri" w:hAnsi="Calibri" w:cs="Calibri" w:hint="default"/>
      </w:rPr>
    </w:lvl>
    <w:lvl w:ilvl="7">
      <w:start w:val="1"/>
      <w:numFmt w:val="decimal"/>
      <w:isLgl/>
      <w:lvlText w:val="%1.%2.%3.%4.%5.%6.%7.%8."/>
      <w:lvlJc w:val="left"/>
      <w:pPr>
        <w:ind w:left="357" w:hanging="357"/>
      </w:pPr>
      <w:rPr>
        <w:rFonts w:ascii="Calibri" w:hAnsi="Calibri" w:cs="Calibri" w:hint="default"/>
      </w:rPr>
    </w:lvl>
    <w:lvl w:ilvl="8">
      <w:start w:val="1"/>
      <w:numFmt w:val="decimal"/>
      <w:isLgl/>
      <w:lvlText w:val="%1.%2.%3.%4.%5.%6.%7.%8.%9."/>
      <w:lvlJc w:val="left"/>
      <w:pPr>
        <w:ind w:left="357" w:hanging="357"/>
      </w:pPr>
      <w:rPr>
        <w:rFonts w:ascii="Calibri" w:hAnsi="Calibri" w:cs="Calibri" w:hint="default"/>
      </w:rPr>
    </w:lvl>
  </w:abstractNum>
  <w:abstractNum w:abstractNumId="1" w15:restartNumberingAfterBreak="0">
    <w:nsid w:val="14B75FA7"/>
    <w:multiLevelType w:val="multilevel"/>
    <w:tmpl w:val="2A9283DC"/>
    <w:name w:val="123"/>
    <w:lvl w:ilvl="0">
      <w:start w:val="1"/>
      <w:numFmt w:val="decimal"/>
      <w:lvlText w:val="Chương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AD54AA"/>
    <w:multiLevelType w:val="multilevel"/>
    <w:tmpl w:val="12826B98"/>
    <w:name w:val="1"/>
    <w:lvl w:ilvl="0">
      <w:start w:val="1"/>
      <w:numFmt w:val="decimal"/>
      <w:suff w:val="space"/>
      <w:lvlText w:val="Chương %1."/>
      <w:lvlJc w:val="left"/>
      <w:pPr>
        <w:ind w:left="1567" w:hanging="432"/>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2" w:firstLine="0"/>
      </w:pPr>
      <w:rPr>
        <w:rFonts w:hint="default"/>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suff w:val="space"/>
      <w:lvlText w:val="%5)"/>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25540DE"/>
    <w:multiLevelType w:val="multilevel"/>
    <w:tmpl w:val="D06E8B06"/>
    <w:name w:val="12"/>
    <w:lvl w:ilvl="0">
      <w:start w:val="1"/>
      <w:numFmt w:val="decimal"/>
      <w:lvlText w:val="Chương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97D57D4"/>
    <w:multiLevelType w:val="multilevel"/>
    <w:tmpl w:val="FC2CF014"/>
    <w:name w:val="22"/>
    <w:numStyleLink w:val="Style2"/>
  </w:abstractNum>
  <w:abstractNum w:abstractNumId="5" w15:restartNumberingAfterBreak="0">
    <w:nsid w:val="435D1BC7"/>
    <w:multiLevelType w:val="multilevel"/>
    <w:tmpl w:val="A3D4AC1E"/>
    <w:name w:val="2"/>
    <w:lvl w:ilvl="0">
      <w:start w:val="1"/>
      <w:numFmt w:val="decimal"/>
      <w:lvlText w:val="Chương %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lowerLetter"/>
      <w:lvlText w:val="%4)"/>
      <w:lvlJc w:val="left"/>
      <w:pPr>
        <w:ind w:left="1080" w:hanging="1080"/>
      </w:pPr>
      <w:rPr>
        <w:rFonts w:ascii="Times New Roman" w:hAnsi="Times New Roman" w:cs="Times New Roman" w:hint="default"/>
        <w:b/>
        <w:i/>
      </w:rPr>
    </w:lvl>
    <w:lvl w:ilvl="4">
      <w:start w:val="1"/>
      <w:numFmt w:val="decimal"/>
      <w:isLgl/>
      <w:lvlText w:val="%1.%2.%3.%4.%5."/>
      <w:lvlJc w:val="left"/>
      <w:pPr>
        <w:ind w:left="1080" w:hanging="1080"/>
      </w:pPr>
      <w:rPr>
        <w:rFonts w:ascii="Calibri" w:hAnsi="Calibri" w:cs="Calibri" w:hint="default"/>
      </w:rPr>
    </w:lvl>
    <w:lvl w:ilvl="5">
      <w:start w:val="1"/>
      <w:numFmt w:val="decimal"/>
      <w:isLgl/>
      <w:lvlText w:val="%1.%2.%3.%4.%5.%6."/>
      <w:lvlJc w:val="left"/>
      <w:pPr>
        <w:ind w:left="1440" w:hanging="1440"/>
      </w:pPr>
      <w:rPr>
        <w:rFonts w:ascii="Calibri" w:hAnsi="Calibri" w:cs="Calibri" w:hint="default"/>
      </w:rPr>
    </w:lvl>
    <w:lvl w:ilvl="6">
      <w:start w:val="1"/>
      <w:numFmt w:val="decimal"/>
      <w:isLgl/>
      <w:lvlText w:val="%1.%2.%3.%4.%5.%6.%7."/>
      <w:lvlJc w:val="left"/>
      <w:pPr>
        <w:ind w:left="1800" w:hanging="1800"/>
      </w:pPr>
      <w:rPr>
        <w:rFonts w:ascii="Calibri" w:hAnsi="Calibri" w:cs="Calibri" w:hint="default"/>
      </w:rPr>
    </w:lvl>
    <w:lvl w:ilvl="7">
      <w:start w:val="1"/>
      <w:numFmt w:val="decimal"/>
      <w:isLgl/>
      <w:lvlText w:val="%1.%2.%3.%4.%5.%6.%7.%8."/>
      <w:lvlJc w:val="left"/>
      <w:pPr>
        <w:ind w:left="1800" w:hanging="1800"/>
      </w:pPr>
      <w:rPr>
        <w:rFonts w:ascii="Calibri" w:hAnsi="Calibri" w:cs="Calibri" w:hint="default"/>
      </w:rPr>
    </w:lvl>
    <w:lvl w:ilvl="8">
      <w:start w:val="1"/>
      <w:numFmt w:val="decimal"/>
      <w:isLgl/>
      <w:lvlText w:val="%1.%2.%3.%4.%5.%6.%7.%8.%9."/>
      <w:lvlJc w:val="left"/>
      <w:pPr>
        <w:ind w:left="2160" w:hanging="2160"/>
      </w:pPr>
      <w:rPr>
        <w:rFonts w:ascii="Calibri" w:hAnsi="Calibri" w:cs="Calibri" w:hint="default"/>
      </w:rPr>
    </w:lvl>
  </w:abstractNum>
  <w:abstractNum w:abstractNumId="6" w15:restartNumberingAfterBreak="0">
    <w:nsid w:val="53FE7A56"/>
    <w:multiLevelType w:val="multilevel"/>
    <w:tmpl w:val="22DC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5C1BD3"/>
    <w:multiLevelType w:val="multilevel"/>
    <w:tmpl w:val="6ADE5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7F7EC3"/>
    <w:multiLevelType w:val="multilevel"/>
    <w:tmpl w:val="5770C432"/>
    <w:name w:val="1"/>
    <w:lvl w:ilvl="0">
      <w:start w:val="1"/>
      <w:numFmt w:val="decimal"/>
      <w:suff w:val="space"/>
      <w:lvlText w:val="Chương %1."/>
      <w:lvlJc w:val="left"/>
      <w:pPr>
        <w:ind w:left="357" w:hanging="357"/>
      </w:pPr>
      <w:rPr>
        <w:rFonts w:hint="default"/>
      </w:rPr>
    </w:lvl>
    <w:lvl w:ilvl="1">
      <w:start w:val="1"/>
      <w:numFmt w:val="decimal"/>
      <w:suff w:val="space"/>
      <w:lvlText w:val="%1.%2."/>
      <w:lvlJc w:val="left"/>
      <w:pPr>
        <w:ind w:left="1701" w:hanging="1701"/>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lowerLetter"/>
      <w:suff w:val="space"/>
      <w:lvlText w:val="%4)"/>
      <w:lvlJc w:val="left"/>
      <w:pPr>
        <w:ind w:left="0" w:firstLine="0"/>
      </w:pPr>
      <w:rPr>
        <w:rFonts w:ascii="Times New Roman" w:hAnsi="Times New Roman" w:cs="Times New Roman" w:hint="default"/>
        <w:b/>
        <w:i/>
        <w:sz w:val="28"/>
        <w:szCs w:val="28"/>
      </w:rPr>
    </w:lvl>
    <w:lvl w:ilvl="4">
      <w:start w:val="1"/>
      <w:numFmt w:val="decimal"/>
      <w:isLgl/>
      <w:lvlText w:val="%1.%2.%3.%4.%5."/>
      <w:lvlJc w:val="left"/>
      <w:pPr>
        <w:ind w:left="357" w:hanging="357"/>
      </w:pPr>
      <w:rPr>
        <w:rFonts w:ascii="Calibri" w:hAnsi="Calibri" w:cs="Calibri" w:hint="default"/>
      </w:rPr>
    </w:lvl>
    <w:lvl w:ilvl="5">
      <w:start w:val="1"/>
      <w:numFmt w:val="decimal"/>
      <w:isLgl/>
      <w:lvlText w:val="%1.%2.%3.%4.%5.%6."/>
      <w:lvlJc w:val="left"/>
      <w:pPr>
        <w:ind w:left="357" w:hanging="357"/>
      </w:pPr>
      <w:rPr>
        <w:rFonts w:ascii="Calibri" w:hAnsi="Calibri" w:cs="Calibri" w:hint="default"/>
      </w:rPr>
    </w:lvl>
    <w:lvl w:ilvl="6">
      <w:start w:val="1"/>
      <w:numFmt w:val="decimal"/>
      <w:isLgl/>
      <w:lvlText w:val="%1.%2.%3.%4.%5.%6.%7."/>
      <w:lvlJc w:val="left"/>
      <w:pPr>
        <w:ind w:left="357" w:hanging="357"/>
      </w:pPr>
      <w:rPr>
        <w:rFonts w:ascii="Calibri" w:hAnsi="Calibri" w:cs="Calibri" w:hint="default"/>
      </w:rPr>
    </w:lvl>
    <w:lvl w:ilvl="7">
      <w:start w:val="1"/>
      <w:numFmt w:val="decimal"/>
      <w:isLgl/>
      <w:lvlText w:val="%1.%2.%3.%4.%5.%6.%7.%8."/>
      <w:lvlJc w:val="left"/>
      <w:pPr>
        <w:ind w:left="357" w:hanging="357"/>
      </w:pPr>
      <w:rPr>
        <w:rFonts w:ascii="Calibri" w:hAnsi="Calibri" w:cs="Calibri" w:hint="default"/>
      </w:rPr>
    </w:lvl>
    <w:lvl w:ilvl="8">
      <w:start w:val="1"/>
      <w:numFmt w:val="decimal"/>
      <w:isLgl/>
      <w:lvlText w:val="%1.%2.%3.%4.%5.%6.%7.%8.%9."/>
      <w:lvlJc w:val="left"/>
      <w:pPr>
        <w:ind w:left="357" w:hanging="357"/>
      </w:pPr>
      <w:rPr>
        <w:rFonts w:ascii="Calibri" w:hAnsi="Calibri" w:cs="Calibri" w:hint="default"/>
      </w:rPr>
    </w:lvl>
  </w:abstractNum>
  <w:abstractNum w:abstractNumId="9" w15:restartNumberingAfterBreak="0">
    <w:nsid w:val="61E9037F"/>
    <w:multiLevelType w:val="multilevel"/>
    <w:tmpl w:val="79043264"/>
    <w:name w:val="111"/>
    <w:lvl w:ilvl="0">
      <w:start w:val="1"/>
      <w:numFmt w:val="decimal"/>
      <w:pStyle w:val="Heading1"/>
      <w:suff w:val="space"/>
      <w:lvlText w:val="Chương %1."/>
      <w:lvlJc w:val="left"/>
      <w:pPr>
        <w:ind w:left="4260" w:hanging="2701"/>
      </w:pPr>
      <w:rPr>
        <w:rFonts w:hint="default"/>
      </w:rPr>
    </w:lvl>
    <w:lvl w:ilvl="1">
      <w:start w:val="1"/>
      <w:numFmt w:val="decimal"/>
      <w:pStyle w:val="Heading2"/>
      <w:isLgl/>
      <w:suff w:val="space"/>
      <w:lvlText w:val="%1.%2."/>
      <w:lvlJc w:val="left"/>
      <w:pPr>
        <w:ind w:left="0" w:firstLine="0"/>
      </w:pPr>
      <w:rPr>
        <w:rFonts w:hint="default"/>
      </w:rPr>
    </w:lvl>
    <w:lvl w:ilvl="2">
      <w:start w:val="1"/>
      <w:numFmt w:val="decimal"/>
      <w:pStyle w:val="Heading3"/>
      <w:isLgl/>
      <w:suff w:val="space"/>
      <w:lvlText w:val="%1.%2.%3."/>
      <w:lvlJc w:val="left"/>
      <w:pPr>
        <w:ind w:left="0" w:firstLine="0"/>
      </w:pPr>
      <w:rPr>
        <w:rFonts w:hint="default"/>
      </w:rPr>
    </w:lvl>
    <w:lvl w:ilvl="3">
      <w:start w:val="1"/>
      <w:numFmt w:val="decimal"/>
      <w:pStyle w:val="Heading4"/>
      <w:suff w:val="space"/>
      <w:lvlText w:val="%1.%2.%3.%4."/>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suff w:val="space"/>
      <w:lvlText w:val="%5)"/>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F1120A9"/>
    <w:multiLevelType w:val="multilevel"/>
    <w:tmpl w:val="3796D440"/>
    <w:name w:val="222"/>
    <w:styleLink w:val="Style1"/>
    <w:lvl w:ilvl="0">
      <w:start w:val="1"/>
      <w:numFmt w:val="decimal"/>
      <w:isLgl/>
      <w:suff w:val="space"/>
      <w:lvlText w:val="Chương %1."/>
      <w:lvlJc w:val="left"/>
      <w:pPr>
        <w:ind w:left="0" w:firstLine="426"/>
      </w:pPr>
      <w:rPr>
        <w:rFonts w:hint="default"/>
      </w:rPr>
    </w:lvl>
    <w:lvl w:ilvl="1">
      <w:start w:val="1"/>
      <w:numFmt w:val="decimal"/>
      <w:isLgl/>
      <w:suff w:val="space"/>
      <w:lvlText w:val="%1.%2."/>
      <w:lvlJc w:val="left"/>
      <w:pPr>
        <w:ind w:left="0" w:firstLine="426"/>
      </w:pPr>
      <w:rPr>
        <w:rFonts w:ascii="Times New Roman" w:hAnsi="Times New Roman" w:cs="Times New Roman" w:hint="default"/>
      </w:rPr>
    </w:lvl>
    <w:lvl w:ilvl="2">
      <w:start w:val="1"/>
      <w:numFmt w:val="decimal"/>
      <w:suff w:val="space"/>
      <w:lvlText w:val="%1.%2.%3."/>
      <w:lvlJc w:val="left"/>
      <w:pPr>
        <w:ind w:left="426" w:firstLine="0"/>
      </w:pPr>
      <w:rPr>
        <w:rFonts w:ascii="Times New Roman" w:hAnsi="Times New Roman" w:cs="Times New Roman" w:hint="default"/>
        <w:b/>
        <w:sz w:val="28"/>
        <w:szCs w:val="28"/>
      </w:rPr>
    </w:lvl>
    <w:lvl w:ilvl="3">
      <w:start w:val="1"/>
      <w:numFmt w:val="lowerLetter"/>
      <w:suff w:val="space"/>
      <w:lvlText w:val="%4)"/>
      <w:lvlJc w:val="left"/>
      <w:pPr>
        <w:ind w:left="426" w:firstLine="0"/>
      </w:pPr>
      <w:rPr>
        <w:rFonts w:ascii="Times New Roman" w:hAnsi="Times New Roman" w:cs="Times New Roman" w:hint="default"/>
        <w:b/>
        <w:i/>
      </w:rPr>
    </w:lvl>
    <w:lvl w:ilvl="4">
      <w:start w:val="1"/>
      <w:numFmt w:val="decimal"/>
      <w:isLgl/>
      <w:lvlText w:val="%1.%2.%3.%4.%5."/>
      <w:lvlJc w:val="left"/>
      <w:pPr>
        <w:ind w:left="783" w:hanging="357"/>
      </w:pPr>
      <w:rPr>
        <w:rFonts w:ascii="Calibri" w:hAnsi="Calibri" w:cs="Calibri" w:hint="default"/>
      </w:rPr>
    </w:lvl>
    <w:lvl w:ilvl="5">
      <w:start w:val="1"/>
      <w:numFmt w:val="decimal"/>
      <w:isLgl/>
      <w:lvlText w:val="%1.%2.%3.%4.%5.%6."/>
      <w:lvlJc w:val="left"/>
      <w:pPr>
        <w:ind w:left="783" w:hanging="357"/>
      </w:pPr>
      <w:rPr>
        <w:rFonts w:ascii="Calibri" w:hAnsi="Calibri" w:cs="Calibri" w:hint="default"/>
      </w:rPr>
    </w:lvl>
    <w:lvl w:ilvl="6">
      <w:start w:val="1"/>
      <w:numFmt w:val="decimal"/>
      <w:isLgl/>
      <w:lvlText w:val="%1.%2.%3.%4.%5.%6.%7."/>
      <w:lvlJc w:val="left"/>
      <w:pPr>
        <w:ind w:left="783" w:hanging="357"/>
      </w:pPr>
      <w:rPr>
        <w:rFonts w:ascii="Calibri" w:hAnsi="Calibri" w:cs="Calibri" w:hint="default"/>
      </w:rPr>
    </w:lvl>
    <w:lvl w:ilvl="7">
      <w:start w:val="1"/>
      <w:numFmt w:val="decimal"/>
      <w:isLgl/>
      <w:lvlText w:val="%1.%2.%3.%4.%5.%6.%7.%8."/>
      <w:lvlJc w:val="left"/>
      <w:pPr>
        <w:ind w:left="783" w:hanging="357"/>
      </w:pPr>
      <w:rPr>
        <w:rFonts w:ascii="Calibri" w:hAnsi="Calibri" w:cs="Calibri" w:hint="default"/>
      </w:rPr>
    </w:lvl>
    <w:lvl w:ilvl="8">
      <w:start w:val="1"/>
      <w:numFmt w:val="decimal"/>
      <w:isLgl/>
      <w:lvlText w:val="%1.%2.%3.%4.%5.%6.%7.%8.%9."/>
      <w:lvlJc w:val="left"/>
      <w:pPr>
        <w:ind w:left="783" w:hanging="357"/>
      </w:pPr>
      <w:rPr>
        <w:rFonts w:ascii="Calibri" w:hAnsi="Calibri" w:cs="Calibri" w:hint="default"/>
      </w:rPr>
    </w:lvl>
  </w:abstractNum>
  <w:abstractNum w:abstractNumId="11" w15:restartNumberingAfterBreak="0">
    <w:nsid w:val="72D06F10"/>
    <w:multiLevelType w:val="multilevel"/>
    <w:tmpl w:val="18BA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807B0D"/>
    <w:multiLevelType w:val="multilevel"/>
    <w:tmpl w:val="9778690A"/>
    <w:name w:val="2222"/>
    <w:lvl w:ilvl="0">
      <w:start w:val="1"/>
      <w:numFmt w:val="decimal"/>
      <w:suff w:val="space"/>
      <w:lvlText w:val="Chương %1."/>
      <w:lvlJc w:val="left"/>
      <w:pPr>
        <w:ind w:left="432" w:hanging="432"/>
      </w:pPr>
      <w:rPr>
        <w:rFonts w:hint="default"/>
      </w:rPr>
    </w:lvl>
    <w:lvl w:ilvl="1">
      <w:start w:val="1"/>
      <w:numFmt w:val="decimal"/>
      <w:isLg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14:ligatures w14:val="none"/>
        <w14:numForm w14:val="default"/>
        <w14:numSpacing w14:val="default"/>
        <w14:stylisticSets/>
        <w14:cntxtAlts w14:val="0"/>
      </w:rPr>
    </w:lvl>
    <w:lvl w:ilvl="4">
      <w:start w:val="1"/>
      <w:numFmt w:val="lowerLetter"/>
      <w:pStyle w:val="Heading5"/>
      <w:suff w:val="space"/>
      <w:lvlText w:val="%5)"/>
      <w:lvlJc w:val="left"/>
      <w:pPr>
        <w:ind w:left="0" w:firstLine="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7A670A7D"/>
    <w:multiLevelType w:val="multilevel"/>
    <w:tmpl w:val="8CB46D58"/>
    <w:name w:val="1.1.2"/>
    <w:lvl w:ilvl="0">
      <w:start w:val="3"/>
      <w:numFmt w:val="decimal"/>
      <w:suff w:val="space"/>
      <w:lvlText w:val="Chương %1."/>
      <w:lvlJc w:val="left"/>
      <w:pPr>
        <w:ind w:left="0" w:firstLine="0"/>
      </w:pPr>
      <w:rPr>
        <w:rFonts w:hint="default"/>
      </w:rPr>
    </w:lvl>
    <w:lvl w:ilvl="1">
      <w:start w:val="1"/>
      <w:numFmt w:val="decimal"/>
      <w:suff w:val="space"/>
      <w:lvlText w:val="%1.%2."/>
      <w:lvlJc w:val="left"/>
      <w:pPr>
        <w:ind w:left="0" w:firstLine="0"/>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lowerLetter"/>
      <w:suff w:val="space"/>
      <w:lvlText w:val="%4)"/>
      <w:lvlJc w:val="left"/>
      <w:pPr>
        <w:ind w:left="0" w:firstLine="0"/>
      </w:pPr>
      <w:rPr>
        <w:rFonts w:ascii="Times New Roman" w:hAnsi="Times New Roman" w:cs="Times New Roman" w:hint="default"/>
        <w:b/>
        <w:i/>
      </w:rPr>
    </w:lvl>
    <w:lvl w:ilvl="4">
      <w:start w:val="1"/>
      <w:numFmt w:val="decimal"/>
      <w:isLgl/>
      <w:lvlText w:val="%1.%2.%3.%4.%5."/>
      <w:lvlJc w:val="left"/>
      <w:pPr>
        <w:ind w:left="357" w:hanging="357"/>
      </w:pPr>
      <w:rPr>
        <w:rFonts w:ascii="Calibri" w:hAnsi="Calibri" w:cs="Calibri" w:hint="default"/>
      </w:rPr>
    </w:lvl>
    <w:lvl w:ilvl="5">
      <w:start w:val="1"/>
      <w:numFmt w:val="decimal"/>
      <w:isLgl/>
      <w:lvlText w:val="%1.%2.%3.%4.%5.%6."/>
      <w:lvlJc w:val="left"/>
      <w:pPr>
        <w:ind w:left="357" w:hanging="357"/>
      </w:pPr>
      <w:rPr>
        <w:rFonts w:ascii="Calibri" w:hAnsi="Calibri" w:cs="Calibri" w:hint="default"/>
      </w:rPr>
    </w:lvl>
    <w:lvl w:ilvl="6">
      <w:start w:val="1"/>
      <w:numFmt w:val="decimal"/>
      <w:isLgl/>
      <w:lvlText w:val="%1.%2.%3.%4.%5.%6.%7."/>
      <w:lvlJc w:val="left"/>
      <w:pPr>
        <w:ind w:left="357" w:hanging="357"/>
      </w:pPr>
      <w:rPr>
        <w:rFonts w:ascii="Calibri" w:hAnsi="Calibri" w:cs="Calibri" w:hint="default"/>
      </w:rPr>
    </w:lvl>
    <w:lvl w:ilvl="7">
      <w:start w:val="1"/>
      <w:numFmt w:val="decimal"/>
      <w:isLgl/>
      <w:lvlText w:val="%1.%2.%3.%4.%5.%6.%7.%8."/>
      <w:lvlJc w:val="left"/>
      <w:pPr>
        <w:ind w:left="357" w:hanging="357"/>
      </w:pPr>
      <w:rPr>
        <w:rFonts w:ascii="Calibri" w:hAnsi="Calibri" w:cs="Calibri" w:hint="default"/>
      </w:rPr>
    </w:lvl>
    <w:lvl w:ilvl="8">
      <w:start w:val="1"/>
      <w:numFmt w:val="decimal"/>
      <w:isLgl/>
      <w:lvlText w:val="%1.%2.%3.%4.%5.%6.%7.%8.%9."/>
      <w:lvlJc w:val="left"/>
      <w:pPr>
        <w:ind w:left="357" w:hanging="357"/>
      </w:pPr>
      <w:rPr>
        <w:rFonts w:ascii="Calibri" w:hAnsi="Calibri" w:cs="Calibri" w:hint="default"/>
      </w:rPr>
    </w:lvl>
  </w:abstractNum>
  <w:num w:numId="1">
    <w:abstractNumId w:val="10"/>
  </w:num>
  <w:num w:numId="2">
    <w:abstractNumId w:val="0"/>
  </w:num>
  <w:num w:numId="3">
    <w:abstractNumId w:val="12"/>
  </w:num>
  <w:num w:numId="4">
    <w:abstractNumId w:val="9"/>
  </w:num>
  <w:num w:numId="5">
    <w:abstractNumId w:val="1"/>
    <w:lvlOverride w:ilvl="0">
      <w:startOverride w:val="1"/>
      <w:lvl w:ilvl="0">
        <w:start w:val="1"/>
        <w:numFmt w:val="decimal"/>
        <w:lvlText w:val="Chương %1."/>
        <w:lvlJc w:val="left"/>
        <w:pPr>
          <w:ind w:left="360" w:hanging="360"/>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
    <w:abstractNumId w:val="7"/>
  </w:num>
  <w:num w:numId="7">
    <w:abstractNumId w:val="11"/>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lignBordersAndEdges/>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1NrEwNbQwtDAxMzdX0lEKTi0uzszPAykwtawFAOuhWL4tAAAA"/>
    <w:docVar w:name="EN.InstantFormat" w:val="&lt;ENInstantFormat&gt;&lt;Enabled&gt;1&lt;/Enabled&gt;&lt;ScanUnformatted&gt;1&lt;/ScanUnformatted&gt;&lt;ScanChanges&gt;1&lt;/ScanChanges&gt;&lt;Suspended&gt;1&lt;/Suspended&gt;&lt;/ENInstantFormat&gt;"/>
    <w:docVar w:name="EN.Layout" w:val="&lt;ENLayout&gt;&lt;Style&gt;luan van thien&lt;/Style&gt;&lt;LeftDelim&gt;{&lt;/LeftDelim&gt;&lt;RightDelim&gt;}&lt;/RightDelim&gt;&lt;FontName&gt;Times New Roman&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rtx5sfpzsxp0sed22n5re2bst2sr5svd0wd&quot;&gt;Thien-Tailieu-Converted&lt;record-ids&gt;&lt;item&gt;8531&lt;/item&gt;&lt;item&gt;8674&lt;/item&gt;&lt;item&gt;9034&lt;/item&gt;&lt;item&gt;11274&lt;/item&gt;&lt;item&gt;11598&lt;/item&gt;&lt;item&gt;13351&lt;/item&gt;&lt;item&gt;14081&lt;/item&gt;&lt;item&gt;14496&lt;/item&gt;&lt;item&gt;14815&lt;/item&gt;&lt;item&gt;16526&lt;/item&gt;&lt;item&gt;18062&lt;/item&gt;&lt;item&gt;18129&lt;/item&gt;&lt;item&gt;18138&lt;/item&gt;&lt;item&gt;19214&lt;/item&gt;&lt;item&gt;19235&lt;/item&gt;&lt;item&gt;19242&lt;/item&gt;&lt;item&gt;19268&lt;/item&gt;&lt;item&gt;19333&lt;/item&gt;&lt;item&gt;19375&lt;/item&gt;&lt;item&gt;19377&lt;/item&gt;&lt;item&gt;19402&lt;/item&gt;&lt;item&gt;19423&lt;/item&gt;&lt;item&gt;19490&lt;/item&gt;&lt;item&gt;19496&lt;/item&gt;&lt;item&gt;19565&lt;/item&gt;&lt;item&gt;19601&lt;/item&gt;&lt;item&gt;19613&lt;/item&gt;&lt;item&gt;19632&lt;/item&gt;&lt;item&gt;19686&lt;/item&gt;&lt;item&gt;20071&lt;/item&gt;&lt;item&gt;20211&lt;/item&gt;&lt;item&gt;20256&lt;/item&gt;&lt;item&gt;20264&lt;/item&gt;&lt;item&gt;20371&lt;/item&gt;&lt;item&gt;20390&lt;/item&gt;&lt;item&gt;20406&lt;/item&gt;&lt;item&gt;20759&lt;/item&gt;&lt;item&gt;20798&lt;/item&gt;&lt;item&gt;20850&lt;/item&gt;&lt;item&gt;20892&lt;/item&gt;&lt;item&gt;20942&lt;/item&gt;&lt;item&gt;20949&lt;/item&gt;&lt;item&gt;20995&lt;/item&gt;&lt;item&gt;21053&lt;/item&gt;&lt;item&gt;21213&lt;/item&gt;&lt;item&gt;21710&lt;/item&gt;&lt;item&gt;21721&lt;/item&gt;&lt;item&gt;21746&lt;/item&gt;&lt;item&gt;21819&lt;/item&gt;&lt;item&gt;21966&lt;/item&gt;&lt;item&gt;22565&lt;/item&gt;&lt;item&gt;22776&lt;/item&gt;&lt;item&gt;23102&lt;/item&gt;&lt;item&gt;23660&lt;/item&gt;&lt;item&gt;24078&lt;/item&gt;&lt;item&gt;24081&lt;/item&gt;&lt;item&gt;24087&lt;/item&gt;&lt;item&gt;24102&lt;/item&gt;&lt;item&gt;24104&lt;/item&gt;&lt;item&gt;24135&lt;/item&gt;&lt;item&gt;24136&lt;/item&gt;&lt;item&gt;24211&lt;/item&gt;&lt;item&gt;24249&lt;/item&gt;&lt;item&gt;24279&lt;/item&gt;&lt;item&gt;24323&lt;/item&gt;&lt;item&gt;24414&lt;/item&gt;&lt;item&gt;24743&lt;/item&gt;&lt;item&gt;25014&lt;/item&gt;&lt;item&gt;25017&lt;/item&gt;&lt;item&gt;25025&lt;/item&gt;&lt;item&gt;25030&lt;/item&gt;&lt;item&gt;25238&lt;/item&gt;&lt;item&gt;25273&lt;/item&gt;&lt;item&gt;25289&lt;/item&gt;&lt;item&gt;25342&lt;/item&gt;&lt;item&gt;25445&lt;/item&gt;&lt;item&gt;25457&lt;/item&gt;&lt;item&gt;25464&lt;/item&gt;&lt;item&gt;25544&lt;/item&gt;&lt;item&gt;25580&lt;/item&gt;&lt;item&gt;25589&lt;/item&gt;&lt;item&gt;25609&lt;/item&gt;&lt;item&gt;25902&lt;/item&gt;&lt;item&gt;26049&lt;/item&gt;&lt;item&gt;26071&lt;/item&gt;&lt;item&gt;26281&lt;/item&gt;&lt;item&gt;26573&lt;/item&gt;&lt;item&gt;26575&lt;/item&gt;&lt;item&gt;26603&lt;/item&gt;&lt;item&gt;26617&lt;/item&gt;&lt;item&gt;26644&lt;/item&gt;&lt;item&gt;26655&lt;/item&gt;&lt;item&gt;26704&lt;/item&gt;&lt;item&gt;26706&lt;/item&gt;&lt;item&gt;26707&lt;/item&gt;&lt;item&gt;27805&lt;/item&gt;&lt;item&gt;27810&lt;/item&gt;&lt;item&gt;27859&lt;/item&gt;&lt;item&gt;27867&lt;/item&gt;&lt;item&gt;28014&lt;/item&gt;&lt;item&gt;28042&lt;/item&gt;&lt;item&gt;28059&lt;/item&gt;&lt;item&gt;28175&lt;/item&gt;&lt;item&gt;28237&lt;/item&gt;&lt;item&gt;28244&lt;/item&gt;&lt;item&gt;28278&lt;/item&gt;&lt;item&gt;28287&lt;/item&gt;&lt;item&gt;28307&lt;/item&gt;&lt;item&gt;28308&lt;/item&gt;&lt;item&gt;28309&lt;/item&gt;&lt;item&gt;28315&lt;/item&gt;&lt;item&gt;28319&lt;/item&gt;&lt;item&gt;28320&lt;/item&gt;&lt;item&gt;28324&lt;/item&gt;&lt;item&gt;28325&lt;/item&gt;&lt;item&gt;28330&lt;/item&gt;&lt;item&gt;28352&lt;/item&gt;&lt;item&gt;28420&lt;/item&gt;&lt;item&gt;28459&lt;/item&gt;&lt;item&gt;28470&lt;/item&gt;&lt;item&gt;28484&lt;/item&gt;&lt;item&gt;28488&lt;/item&gt;&lt;item&gt;28501&lt;/item&gt;&lt;item&gt;28507&lt;/item&gt;&lt;item&gt;28531&lt;/item&gt;&lt;item&gt;28541&lt;/item&gt;&lt;item&gt;28543&lt;/item&gt;&lt;item&gt;28544&lt;/item&gt;&lt;item&gt;28547&lt;/item&gt;&lt;item&gt;28565&lt;/item&gt;&lt;item&gt;28566&lt;/item&gt;&lt;item&gt;28570&lt;/item&gt;&lt;item&gt;28572&lt;/item&gt;&lt;item&gt;28573&lt;/item&gt;&lt;item&gt;28574&lt;/item&gt;&lt;item&gt;28576&lt;/item&gt;&lt;item&gt;28578&lt;/item&gt;&lt;item&gt;28583&lt;/item&gt;&lt;item&gt;28591&lt;/item&gt;&lt;item&gt;28592&lt;/item&gt;&lt;item&gt;28599&lt;/item&gt;&lt;item&gt;28600&lt;/item&gt;&lt;item&gt;28614&lt;/item&gt;&lt;item&gt;28616&lt;/item&gt;&lt;item&gt;28634&lt;/item&gt;&lt;item&gt;28642&lt;/item&gt;&lt;item&gt;28645&lt;/item&gt;&lt;item&gt;28650&lt;/item&gt;&lt;item&gt;28652&lt;/item&gt;&lt;item&gt;28654&lt;/item&gt;&lt;item&gt;28657&lt;/item&gt;&lt;item&gt;28668&lt;/item&gt;&lt;item&gt;28671&lt;/item&gt;&lt;item&gt;28672&lt;/item&gt;&lt;item&gt;28673&lt;/item&gt;&lt;item&gt;28674&lt;/item&gt;&lt;item&gt;28676&lt;/item&gt;&lt;item&gt;28681&lt;/item&gt;&lt;item&gt;28692&lt;/item&gt;&lt;item&gt;28694&lt;/item&gt;&lt;item&gt;28843&lt;/item&gt;&lt;item&gt;28852&lt;/item&gt;&lt;item&gt;28867&lt;/item&gt;&lt;item&gt;28903&lt;/item&gt;&lt;item&gt;28914&lt;/item&gt;&lt;item&gt;28915&lt;/item&gt;&lt;item&gt;28917&lt;/item&gt;&lt;item&gt;28918&lt;/item&gt;&lt;item&gt;28921&lt;/item&gt;&lt;item&gt;28922&lt;/item&gt;&lt;item&gt;28996&lt;/item&gt;&lt;item&gt;28997&lt;/item&gt;&lt;item&gt;29000&lt;/item&gt;&lt;item&gt;29013&lt;/item&gt;&lt;item&gt;29017&lt;/item&gt;&lt;item&gt;29018&lt;/item&gt;&lt;item&gt;29024&lt;/item&gt;&lt;item&gt;29025&lt;/item&gt;&lt;item&gt;29026&lt;/item&gt;&lt;item&gt;29030&lt;/item&gt;&lt;item&gt;29087&lt;/item&gt;&lt;item&gt;29097&lt;/item&gt;&lt;item&gt;29100&lt;/item&gt;&lt;item&gt;29101&lt;/item&gt;&lt;item&gt;29102&lt;/item&gt;&lt;item&gt;29103&lt;/item&gt;&lt;item&gt;29104&lt;/item&gt;&lt;item&gt;29105&lt;/item&gt;&lt;item&gt;29106&lt;/item&gt;&lt;item&gt;29108&lt;/item&gt;&lt;item&gt;29111&lt;/item&gt;&lt;item&gt;29112&lt;/item&gt;&lt;item&gt;29114&lt;/item&gt;&lt;item&gt;29115&lt;/item&gt;&lt;item&gt;29116&lt;/item&gt;&lt;item&gt;29117&lt;/item&gt;&lt;/record-ids&gt;&lt;/item&gt;&lt;/Libraries&gt;"/>
  </w:docVars>
  <w:rsids>
    <w:rsidRoot w:val="0005075B"/>
    <w:rsid w:val="00000789"/>
    <w:rsid w:val="00001599"/>
    <w:rsid w:val="00001684"/>
    <w:rsid w:val="0000184E"/>
    <w:rsid w:val="00001870"/>
    <w:rsid w:val="00001AEE"/>
    <w:rsid w:val="0000266B"/>
    <w:rsid w:val="00002CB5"/>
    <w:rsid w:val="0000328C"/>
    <w:rsid w:val="0000340F"/>
    <w:rsid w:val="00003908"/>
    <w:rsid w:val="00003CA4"/>
    <w:rsid w:val="00003E53"/>
    <w:rsid w:val="00004382"/>
    <w:rsid w:val="00004D4D"/>
    <w:rsid w:val="00005240"/>
    <w:rsid w:val="000052A6"/>
    <w:rsid w:val="0000575E"/>
    <w:rsid w:val="000058AD"/>
    <w:rsid w:val="000058C4"/>
    <w:rsid w:val="00005ACA"/>
    <w:rsid w:val="00006570"/>
    <w:rsid w:val="000077EA"/>
    <w:rsid w:val="00007D76"/>
    <w:rsid w:val="000102E2"/>
    <w:rsid w:val="0001035B"/>
    <w:rsid w:val="00010962"/>
    <w:rsid w:val="00010A25"/>
    <w:rsid w:val="00010C11"/>
    <w:rsid w:val="00010C7B"/>
    <w:rsid w:val="00011534"/>
    <w:rsid w:val="00011550"/>
    <w:rsid w:val="000115B7"/>
    <w:rsid w:val="00011687"/>
    <w:rsid w:val="00011941"/>
    <w:rsid w:val="00011B01"/>
    <w:rsid w:val="0001249A"/>
    <w:rsid w:val="00012930"/>
    <w:rsid w:val="000129F1"/>
    <w:rsid w:val="00013221"/>
    <w:rsid w:val="0001366C"/>
    <w:rsid w:val="0001376B"/>
    <w:rsid w:val="00013E18"/>
    <w:rsid w:val="000146F2"/>
    <w:rsid w:val="00014BA3"/>
    <w:rsid w:val="000154D1"/>
    <w:rsid w:val="0001580F"/>
    <w:rsid w:val="000159DF"/>
    <w:rsid w:val="00015AC0"/>
    <w:rsid w:val="00015C07"/>
    <w:rsid w:val="00015D76"/>
    <w:rsid w:val="00015DAD"/>
    <w:rsid w:val="00016698"/>
    <w:rsid w:val="00016F60"/>
    <w:rsid w:val="0001730B"/>
    <w:rsid w:val="00017522"/>
    <w:rsid w:val="00020434"/>
    <w:rsid w:val="00020D89"/>
    <w:rsid w:val="000216F8"/>
    <w:rsid w:val="00021A18"/>
    <w:rsid w:val="00021D53"/>
    <w:rsid w:val="00023344"/>
    <w:rsid w:val="000242EF"/>
    <w:rsid w:val="000246E7"/>
    <w:rsid w:val="000248EB"/>
    <w:rsid w:val="00024DE4"/>
    <w:rsid w:val="000254B4"/>
    <w:rsid w:val="00025883"/>
    <w:rsid w:val="00025B4B"/>
    <w:rsid w:val="00025D90"/>
    <w:rsid w:val="00026121"/>
    <w:rsid w:val="000261C9"/>
    <w:rsid w:val="00026561"/>
    <w:rsid w:val="00026635"/>
    <w:rsid w:val="00026EB8"/>
    <w:rsid w:val="00027367"/>
    <w:rsid w:val="0002797A"/>
    <w:rsid w:val="00027C10"/>
    <w:rsid w:val="00030544"/>
    <w:rsid w:val="0003067E"/>
    <w:rsid w:val="00031164"/>
    <w:rsid w:val="00031485"/>
    <w:rsid w:val="00031714"/>
    <w:rsid w:val="00032136"/>
    <w:rsid w:val="000324AB"/>
    <w:rsid w:val="000327BA"/>
    <w:rsid w:val="00032FB2"/>
    <w:rsid w:val="000338BF"/>
    <w:rsid w:val="000338EE"/>
    <w:rsid w:val="00034675"/>
    <w:rsid w:val="00034BB7"/>
    <w:rsid w:val="00034C64"/>
    <w:rsid w:val="00034E73"/>
    <w:rsid w:val="00034EBD"/>
    <w:rsid w:val="000352DE"/>
    <w:rsid w:val="0003573A"/>
    <w:rsid w:val="00035A80"/>
    <w:rsid w:val="00036224"/>
    <w:rsid w:val="000362FD"/>
    <w:rsid w:val="00036333"/>
    <w:rsid w:val="000368C8"/>
    <w:rsid w:val="00036B42"/>
    <w:rsid w:val="00036C63"/>
    <w:rsid w:val="00036F77"/>
    <w:rsid w:val="0003737E"/>
    <w:rsid w:val="00037540"/>
    <w:rsid w:val="00037A2D"/>
    <w:rsid w:val="0004060E"/>
    <w:rsid w:val="00040EB6"/>
    <w:rsid w:val="0004131B"/>
    <w:rsid w:val="000419BF"/>
    <w:rsid w:val="00042116"/>
    <w:rsid w:val="00042D3C"/>
    <w:rsid w:val="000435BB"/>
    <w:rsid w:val="000439EA"/>
    <w:rsid w:val="000442BC"/>
    <w:rsid w:val="000468DA"/>
    <w:rsid w:val="00047238"/>
    <w:rsid w:val="00047EBB"/>
    <w:rsid w:val="00050022"/>
    <w:rsid w:val="00050077"/>
    <w:rsid w:val="0005075B"/>
    <w:rsid w:val="00050F44"/>
    <w:rsid w:val="00050FBE"/>
    <w:rsid w:val="00051195"/>
    <w:rsid w:val="00051548"/>
    <w:rsid w:val="000517B5"/>
    <w:rsid w:val="00052381"/>
    <w:rsid w:val="00052850"/>
    <w:rsid w:val="00052A77"/>
    <w:rsid w:val="00052C82"/>
    <w:rsid w:val="000532FA"/>
    <w:rsid w:val="000534BD"/>
    <w:rsid w:val="00053672"/>
    <w:rsid w:val="0005388B"/>
    <w:rsid w:val="00053C48"/>
    <w:rsid w:val="000542C9"/>
    <w:rsid w:val="000546CD"/>
    <w:rsid w:val="0005471F"/>
    <w:rsid w:val="0005475E"/>
    <w:rsid w:val="00054D4B"/>
    <w:rsid w:val="00054E4B"/>
    <w:rsid w:val="00055477"/>
    <w:rsid w:val="000557CA"/>
    <w:rsid w:val="000558F0"/>
    <w:rsid w:val="00055F11"/>
    <w:rsid w:val="00055F39"/>
    <w:rsid w:val="00056287"/>
    <w:rsid w:val="000563D7"/>
    <w:rsid w:val="000567F7"/>
    <w:rsid w:val="00056A3F"/>
    <w:rsid w:val="00056C01"/>
    <w:rsid w:val="00060366"/>
    <w:rsid w:val="00060A51"/>
    <w:rsid w:val="0006130C"/>
    <w:rsid w:val="00061814"/>
    <w:rsid w:val="000618A2"/>
    <w:rsid w:val="000619A1"/>
    <w:rsid w:val="00062023"/>
    <w:rsid w:val="0006233F"/>
    <w:rsid w:val="00062743"/>
    <w:rsid w:val="00062AF2"/>
    <w:rsid w:val="00062D72"/>
    <w:rsid w:val="00062E13"/>
    <w:rsid w:val="00063C07"/>
    <w:rsid w:val="00063E1B"/>
    <w:rsid w:val="00064855"/>
    <w:rsid w:val="000651B9"/>
    <w:rsid w:val="00065409"/>
    <w:rsid w:val="00065626"/>
    <w:rsid w:val="000658AC"/>
    <w:rsid w:val="00065F4D"/>
    <w:rsid w:val="00066538"/>
    <w:rsid w:val="00066E31"/>
    <w:rsid w:val="00070017"/>
    <w:rsid w:val="00070235"/>
    <w:rsid w:val="00070304"/>
    <w:rsid w:val="00070381"/>
    <w:rsid w:val="00070428"/>
    <w:rsid w:val="00071C16"/>
    <w:rsid w:val="00071C8D"/>
    <w:rsid w:val="00071E8F"/>
    <w:rsid w:val="0007334F"/>
    <w:rsid w:val="000735BA"/>
    <w:rsid w:val="00073682"/>
    <w:rsid w:val="00073BEE"/>
    <w:rsid w:val="000740AE"/>
    <w:rsid w:val="00074267"/>
    <w:rsid w:val="00074685"/>
    <w:rsid w:val="00074D8A"/>
    <w:rsid w:val="00074EF8"/>
    <w:rsid w:val="000756C8"/>
    <w:rsid w:val="00075731"/>
    <w:rsid w:val="00075804"/>
    <w:rsid w:val="00075835"/>
    <w:rsid w:val="00075ECC"/>
    <w:rsid w:val="00076B25"/>
    <w:rsid w:val="0008007C"/>
    <w:rsid w:val="00080795"/>
    <w:rsid w:val="00081439"/>
    <w:rsid w:val="00082520"/>
    <w:rsid w:val="000828DC"/>
    <w:rsid w:val="000834A6"/>
    <w:rsid w:val="00083579"/>
    <w:rsid w:val="00083FFB"/>
    <w:rsid w:val="0008497C"/>
    <w:rsid w:val="000851DD"/>
    <w:rsid w:val="0008632C"/>
    <w:rsid w:val="00086DA1"/>
    <w:rsid w:val="00086ED5"/>
    <w:rsid w:val="00086FA8"/>
    <w:rsid w:val="00087809"/>
    <w:rsid w:val="00087CA0"/>
    <w:rsid w:val="0009049F"/>
    <w:rsid w:val="0009069F"/>
    <w:rsid w:val="00090AFF"/>
    <w:rsid w:val="00091992"/>
    <w:rsid w:val="00091C42"/>
    <w:rsid w:val="00091E13"/>
    <w:rsid w:val="000921BA"/>
    <w:rsid w:val="0009253C"/>
    <w:rsid w:val="00092857"/>
    <w:rsid w:val="00092890"/>
    <w:rsid w:val="00092ABF"/>
    <w:rsid w:val="00092DEE"/>
    <w:rsid w:val="00092E12"/>
    <w:rsid w:val="00092FF7"/>
    <w:rsid w:val="00093356"/>
    <w:rsid w:val="00093420"/>
    <w:rsid w:val="00093B03"/>
    <w:rsid w:val="00093ED8"/>
    <w:rsid w:val="000950E3"/>
    <w:rsid w:val="00095A7C"/>
    <w:rsid w:val="00095F46"/>
    <w:rsid w:val="0009603C"/>
    <w:rsid w:val="000960B2"/>
    <w:rsid w:val="00096F8D"/>
    <w:rsid w:val="00097705"/>
    <w:rsid w:val="00097835"/>
    <w:rsid w:val="0009789D"/>
    <w:rsid w:val="000A017D"/>
    <w:rsid w:val="000A037F"/>
    <w:rsid w:val="000A0743"/>
    <w:rsid w:val="000A0884"/>
    <w:rsid w:val="000A0C11"/>
    <w:rsid w:val="000A0E87"/>
    <w:rsid w:val="000A1166"/>
    <w:rsid w:val="000A158C"/>
    <w:rsid w:val="000A228C"/>
    <w:rsid w:val="000A2763"/>
    <w:rsid w:val="000A2C23"/>
    <w:rsid w:val="000A3065"/>
    <w:rsid w:val="000A30EC"/>
    <w:rsid w:val="000A3283"/>
    <w:rsid w:val="000A3325"/>
    <w:rsid w:val="000A39B8"/>
    <w:rsid w:val="000A3BA8"/>
    <w:rsid w:val="000A4076"/>
    <w:rsid w:val="000A4197"/>
    <w:rsid w:val="000A4C57"/>
    <w:rsid w:val="000A55C3"/>
    <w:rsid w:val="000A56F4"/>
    <w:rsid w:val="000A58CB"/>
    <w:rsid w:val="000A5A4D"/>
    <w:rsid w:val="000A5B8E"/>
    <w:rsid w:val="000A6261"/>
    <w:rsid w:val="000A6353"/>
    <w:rsid w:val="000A6764"/>
    <w:rsid w:val="000B062F"/>
    <w:rsid w:val="000B1128"/>
    <w:rsid w:val="000B1150"/>
    <w:rsid w:val="000B17E0"/>
    <w:rsid w:val="000B1BA6"/>
    <w:rsid w:val="000B2E4F"/>
    <w:rsid w:val="000B33F6"/>
    <w:rsid w:val="000B398C"/>
    <w:rsid w:val="000B39AF"/>
    <w:rsid w:val="000B4031"/>
    <w:rsid w:val="000B474A"/>
    <w:rsid w:val="000B4F85"/>
    <w:rsid w:val="000B5663"/>
    <w:rsid w:val="000B5C21"/>
    <w:rsid w:val="000B5FC5"/>
    <w:rsid w:val="000B6592"/>
    <w:rsid w:val="000B65DB"/>
    <w:rsid w:val="000B684C"/>
    <w:rsid w:val="000B6896"/>
    <w:rsid w:val="000B6C8E"/>
    <w:rsid w:val="000B7582"/>
    <w:rsid w:val="000C01AE"/>
    <w:rsid w:val="000C0820"/>
    <w:rsid w:val="000C0E3C"/>
    <w:rsid w:val="000C111C"/>
    <w:rsid w:val="000C11FB"/>
    <w:rsid w:val="000C1311"/>
    <w:rsid w:val="000C167E"/>
    <w:rsid w:val="000C1CF1"/>
    <w:rsid w:val="000C200F"/>
    <w:rsid w:val="000C2887"/>
    <w:rsid w:val="000C2917"/>
    <w:rsid w:val="000C29BB"/>
    <w:rsid w:val="000C2AA1"/>
    <w:rsid w:val="000C2BDB"/>
    <w:rsid w:val="000C2C11"/>
    <w:rsid w:val="000C2E86"/>
    <w:rsid w:val="000C3636"/>
    <w:rsid w:val="000C3642"/>
    <w:rsid w:val="000C38D0"/>
    <w:rsid w:val="000C40A0"/>
    <w:rsid w:val="000C40FA"/>
    <w:rsid w:val="000C41DC"/>
    <w:rsid w:val="000C520C"/>
    <w:rsid w:val="000C5C64"/>
    <w:rsid w:val="000C5E92"/>
    <w:rsid w:val="000C635B"/>
    <w:rsid w:val="000C6600"/>
    <w:rsid w:val="000C67FC"/>
    <w:rsid w:val="000C7C1D"/>
    <w:rsid w:val="000C7C3A"/>
    <w:rsid w:val="000C7CCB"/>
    <w:rsid w:val="000C7D18"/>
    <w:rsid w:val="000D0606"/>
    <w:rsid w:val="000D0C4F"/>
    <w:rsid w:val="000D0C50"/>
    <w:rsid w:val="000D1340"/>
    <w:rsid w:val="000D18B0"/>
    <w:rsid w:val="000D18DB"/>
    <w:rsid w:val="000D1D44"/>
    <w:rsid w:val="000D20CC"/>
    <w:rsid w:val="000D2233"/>
    <w:rsid w:val="000D232A"/>
    <w:rsid w:val="000D2B78"/>
    <w:rsid w:val="000D2FBF"/>
    <w:rsid w:val="000D33E0"/>
    <w:rsid w:val="000D3AFC"/>
    <w:rsid w:val="000D3BA4"/>
    <w:rsid w:val="000D3E73"/>
    <w:rsid w:val="000D432E"/>
    <w:rsid w:val="000D436D"/>
    <w:rsid w:val="000D4530"/>
    <w:rsid w:val="000D4E45"/>
    <w:rsid w:val="000D5B72"/>
    <w:rsid w:val="000D6673"/>
    <w:rsid w:val="000D68EE"/>
    <w:rsid w:val="000D6D07"/>
    <w:rsid w:val="000D7254"/>
    <w:rsid w:val="000D768F"/>
    <w:rsid w:val="000E08DD"/>
    <w:rsid w:val="000E1399"/>
    <w:rsid w:val="000E17EF"/>
    <w:rsid w:val="000E1860"/>
    <w:rsid w:val="000E1BD7"/>
    <w:rsid w:val="000E1CE8"/>
    <w:rsid w:val="000E1FB6"/>
    <w:rsid w:val="000E20CE"/>
    <w:rsid w:val="000E26FF"/>
    <w:rsid w:val="000E31CD"/>
    <w:rsid w:val="000E3361"/>
    <w:rsid w:val="000E33A9"/>
    <w:rsid w:val="000E348A"/>
    <w:rsid w:val="000E34B0"/>
    <w:rsid w:val="000E3916"/>
    <w:rsid w:val="000E3D9B"/>
    <w:rsid w:val="000E3F78"/>
    <w:rsid w:val="000E43C3"/>
    <w:rsid w:val="000E45CA"/>
    <w:rsid w:val="000E489F"/>
    <w:rsid w:val="000E496A"/>
    <w:rsid w:val="000E4D24"/>
    <w:rsid w:val="000E4E2E"/>
    <w:rsid w:val="000E549C"/>
    <w:rsid w:val="000E5CC1"/>
    <w:rsid w:val="000E6F1B"/>
    <w:rsid w:val="000E6F82"/>
    <w:rsid w:val="000E71B0"/>
    <w:rsid w:val="000E7715"/>
    <w:rsid w:val="000E7820"/>
    <w:rsid w:val="000E7C06"/>
    <w:rsid w:val="000F0410"/>
    <w:rsid w:val="000F0432"/>
    <w:rsid w:val="000F0A5F"/>
    <w:rsid w:val="000F0D48"/>
    <w:rsid w:val="000F0D9A"/>
    <w:rsid w:val="000F0EE1"/>
    <w:rsid w:val="000F0FB8"/>
    <w:rsid w:val="000F1947"/>
    <w:rsid w:val="000F1F2C"/>
    <w:rsid w:val="000F1F68"/>
    <w:rsid w:val="000F20F3"/>
    <w:rsid w:val="000F2449"/>
    <w:rsid w:val="000F24AE"/>
    <w:rsid w:val="000F293E"/>
    <w:rsid w:val="000F2A25"/>
    <w:rsid w:val="000F2B07"/>
    <w:rsid w:val="000F2BD2"/>
    <w:rsid w:val="000F3531"/>
    <w:rsid w:val="000F3706"/>
    <w:rsid w:val="000F3999"/>
    <w:rsid w:val="000F3AF5"/>
    <w:rsid w:val="000F4523"/>
    <w:rsid w:val="000F46BC"/>
    <w:rsid w:val="000F4ABD"/>
    <w:rsid w:val="000F4DC3"/>
    <w:rsid w:val="000F5BBE"/>
    <w:rsid w:val="000F5BF0"/>
    <w:rsid w:val="000F6B93"/>
    <w:rsid w:val="000F70AA"/>
    <w:rsid w:val="000F72B7"/>
    <w:rsid w:val="000F744F"/>
    <w:rsid w:val="000F79B4"/>
    <w:rsid w:val="000F7DFF"/>
    <w:rsid w:val="00100077"/>
    <w:rsid w:val="0010103B"/>
    <w:rsid w:val="00101818"/>
    <w:rsid w:val="00101A89"/>
    <w:rsid w:val="00102162"/>
    <w:rsid w:val="00102166"/>
    <w:rsid w:val="001022B4"/>
    <w:rsid w:val="001023DA"/>
    <w:rsid w:val="00102BE6"/>
    <w:rsid w:val="001031D9"/>
    <w:rsid w:val="0010357B"/>
    <w:rsid w:val="00103AD9"/>
    <w:rsid w:val="00103B77"/>
    <w:rsid w:val="00103D42"/>
    <w:rsid w:val="001042FA"/>
    <w:rsid w:val="00104728"/>
    <w:rsid w:val="001047C0"/>
    <w:rsid w:val="00104C5D"/>
    <w:rsid w:val="00105160"/>
    <w:rsid w:val="00105448"/>
    <w:rsid w:val="00105556"/>
    <w:rsid w:val="001055E7"/>
    <w:rsid w:val="00105B61"/>
    <w:rsid w:val="00106220"/>
    <w:rsid w:val="001064CA"/>
    <w:rsid w:val="00106982"/>
    <w:rsid w:val="00106AAC"/>
    <w:rsid w:val="00106CA8"/>
    <w:rsid w:val="001070CE"/>
    <w:rsid w:val="001071EA"/>
    <w:rsid w:val="001072E9"/>
    <w:rsid w:val="00107588"/>
    <w:rsid w:val="00107878"/>
    <w:rsid w:val="00107B0C"/>
    <w:rsid w:val="00107DE5"/>
    <w:rsid w:val="001106D2"/>
    <w:rsid w:val="00110C85"/>
    <w:rsid w:val="0011125B"/>
    <w:rsid w:val="0011150D"/>
    <w:rsid w:val="0011160C"/>
    <w:rsid w:val="0011170C"/>
    <w:rsid w:val="00112804"/>
    <w:rsid w:val="00112A33"/>
    <w:rsid w:val="00112A93"/>
    <w:rsid w:val="00112FD3"/>
    <w:rsid w:val="001131B9"/>
    <w:rsid w:val="0011346C"/>
    <w:rsid w:val="00113676"/>
    <w:rsid w:val="0011395C"/>
    <w:rsid w:val="00113ACB"/>
    <w:rsid w:val="00113ACD"/>
    <w:rsid w:val="00113BB7"/>
    <w:rsid w:val="00113E70"/>
    <w:rsid w:val="0011432B"/>
    <w:rsid w:val="0011479A"/>
    <w:rsid w:val="00114A1D"/>
    <w:rsid w:val="00114E4E"/>
    <w:rsid w:val="00114EAA"/>
    <w:rsid w:val="00115436"/>
    <w:rsid w:val="00115492"/>
    <w:rsid w:val="0011571B"/>
    <w:rsid w:val="00115841"/>
    <w:rsid w:val="001159EB"/>
    <w:rsid w:val="001161EC"/>
    <w:rsid w:val="001166AA"/>
    <w:rsid w:val="0011680C"/>
    <w:rsid w:val="00116A75"/>
    <w:rsid w:val="00117618"/>
    <w:rsid w:val="0011783B"/>
    <w:rsid w:val="00117ACA"/>
    <w:rsid w:val="00117FFB"/>
    <w:rsid w:val="00120056"/>
    <w:rsid w:val="001205C8"/>
    <w:rsid w:val="0012076E"/>
    <w:rsid w:val="00120B45"/>
    <w:rsid w:val="00120E37"/>
    <w:rsid w:val="00120ED7"/>
    <w:rsid w:val="0012115D"/>
    <w:rsid w:val="00121222"/>
    <w:rsid w:val="00121979"/>
    <w:rsid w:val="00121A27"/>
    <w:rsid w:val="00121AF1"/>
    <w:rsid w:val="001225FC"/>
    <w:rsid w:val="001227C2"/>
    <w:rsid w:val="00122847"/>
    <w:rsid w:val="001239BF"/>
    <w:rsid w:val="001247E2"/>
    <w:rsid w:val="001252C5"/>
    <w:rsid w:val="00125399"/>
    <w:rsid w:val="0012576E"/>
    <w:rsid w:val="00125AD0"/>
    <w:rsid w:val="00125ECA"/>
    <w:rsid w:val="00125F35"/>
    <w:rsid w:val="001261A0"/>
    <w:rsid w:val="001262FB"/>
    <w:rsid w:val="0012692A"/>
    <w:rsid w:val="00126A7E"/>
    <w:rsid w:val="00126CE4"/>
    <w:rsid w:val="00126D1D"/>
    <w:rsid w:val="00126D8C"/>
    <w:rsid w:val="001271C2"/>
    <w:rsid w:val="001271D3"/>
    <w:rsid w:val="0012734C"/>
    <w:rsid w:val="0012766E"/>
    <w:rsid w:val="001279BC"/>
    <w:rsid w:val="00127AB2"/>
    <w:rsid w:val="00127B88"/>
    <w:rsid w:val="0013021E"/>
    <w:rsid w:val="001309BE"/>
    <w:rsid w:val="0013240E"/>
    <w:rsid w:val="001324BD"/>
    <w:rsid w:val="001324F8"/>
    <w:rsid w:val="00132E6B"/>
    <w:rsid w:val="001332A6"/>
    <w:rsid w:val="00133CED"/>
    <w:rsid w:val="00134342"/>
    <w:rsid w:val="00134E74"/>
    <w:rsid w:val="00134F4D"/>
    <w:rsid w:val="00135111"/>
    <w:rsid w:val="00135BCE"/>
    <w:rsid w:val="00135C2E"/>
    <w:rsid w:val="00135D22"/>
    <w:rsid w:val="00135D70"/>
    <w:rsid w:val="00135FD9"/>
    <w:rsid w:val="00136079"/>
    <w:rsid w:val="001361ED"/>
    <w:rsid w:val="001364AC"/>
    <w:rsid w:val="001366FB"/>
    <w:rsid w:val="00137388"/>
    <w:rsid w:val="001404CF"/>
    <w:rsid w:val="001405CC"/>
    <w:rsid w:val="00140ACD"/>
    <w:rsid w:val="001415ED"/>
    <w:rsid w:val="0014170E"/>
    <w:rsid w:val="00141C6C"/>
    <w:rsid w:val="00141C9E"/>
    <w:rsid w:val="00142416"/>
    <w:rsid w:val="00142428"/>
    <w:rsid w:val="001426BB"/>
    <w:rsid w:val="001434E8"/>
    <w:rsid w:val="001441F1"/>
    <w:rsid w:val="00144430"/>
    <w:rsid w:val="001447B6"/>
    <w:rsid w:val="00144B11"/>
    <w:rsid w:val="00144DE9"/>
    <w:rsid w:val="0014513F"/>
    <w:rsid w:val="0014547A"/>
    <w:rsid w:val="001458D8"/>
    <w:rsid w:val="00145EBD"/>
    <w:rsid w:val="00146217"/>
    <w:rsid w:val="0014666A"/>
    <w:rsid w:val="00146731"/>
    <w:rsid w:val="00146986"/>
    <w:rsid w:val="001470DA"/>
    <w:rsid w:val="00147370"/>
    <w:rsid w:val="001476BE"/>
    <w:rsid w:val="00147815"/>
    <w:rsid w:val="001478A7"/>
    <w:rsid w:val="00147EC7"/>
    <w:rsid w:val="001500AF"/>
    <w:rsid w:val="00150609"/>
    <w:rsid w:val="00150813"/>
    <w:rsid w:val="00150837"/>
    <w:rsid w:val="00151774"/>
    <w:rsid w:val="00152DFB"/>
    <w:rsid w:val="00153018"/>
    <w:rsid w:val="0015336C"/>
    <w:rsid w:val="0015337E"/>
    <w:rsid w:val="00153AD8"/>
    <w:rsid w:val="001548BC"/>
    <w:rsid w:val="0015505E"/>
    <w:rsid w:val="00155193"/>
    <w:rsid w:val="00155290"/>
    <w:rsid w:val="001555BA"/>
    <w:rsid w:val="001556E4"/>
    <w:rsid w:val="00155892"/>
    <w:rsid w:val="00155C49"/>
    <w:rsid w:val="00155DBE"/>
    <w:rsid w:val="0015604C"/>
    <w:rsid w:val="001562E8"/>
    <w:rsid w:val="00156B2A"/>
    <w:rsid w:val="001575C8"/>
    <w:rsid w:val="00157911"/>
    <w:rsid w:val="00157FB8"/>
    <w:rsid w:val="001600E3"/>
    <w:rsid w:val="00160890"/>
    <w:rsid w:val="001618A9"/>
    <w:rsid w:val="00162122"/>
    <w:rsid w:val="00162342"/>
    <w:rsid w:val="00162AD5"/>
    <w:rsid w:val="00163270"/>
    <w:rsid w:val="00163457"/>
    <w:rsid w:val="001634F6"/>
    <w:rsid w:val="00163E2A"/>
    <w:rsid w:val="00164AB8"/>
    <w:rsid w:val="00164E41"/>
    <w:rsid w:val="00164E68"/>
    <w:rsid w:val="00165081"/>
    <w:rsid w:val="001656CB"/>
    <w:rsid w:val="00165E97"/>
    <w:rsid w:val="001662F8"/>
    <w:rsid w:val="001663D7"/>
    <w:rsid w:val="00166BE1"/>
    <w:rsid w:val="00166EF7"/>
    <w:rsid w:val="00166FDD"/>
    <w:rsid w:val="00167339"/>
    <w:rsid w:val="00167B8A"/>
    <w:rsid w:val="00167D59"/>
    <w:rsid w:val="001705F9"/>
    <w:rsid w:val="0017086D"/>
    <w:rsid w:val="00170C99"/>
    <w:rsid w:val="00170E6A"/>
    <w:rsid w:val="00170F01"/>
    <w:rsid w:val="00171874"/>
    <w:rsid w:val="0017218C"/>
    <w:rsid w:val="001723B1"/>
    <w:rsid w:val="0017245F"/>
    <w:rsid w:val="001729C7"/>
    <w:rsid w:val="00172DE8"/>
    <w:rsid w:val="001731E3"/>
    <w:rsid w:val="00173210"/>
    <w:rsid w:val="00173E3D"/>
    <w:rsid w:val="0017446B"/>
    <w:rsid w:val="00174D4B"/>
    <w:rsid w:val="001751C4"/>
    <w:rsid w:val="00175417"/>
    <w:rsid w:val="001754EC"/>
    <w:rsid w:val="001757C2"/>
    <w:rsid w:val="00175C3B"/>
    <w:rsid w:val="001766D1"/>
    <w:rsid w:val="0017676E"/>
    <w:rsid w:val="00177535"/>
    <w:rsid w:val="0017788A"/>
    <w:rsid w:val="00177A16"/>
    <w:rsid w:val="00177F06"/>
    <w:rsid w:val="00180231"/>
    <w:rsid w:val="00180334"/>
    <w:rsid w:val="001805DA"/>
    <w:rsid w:val="00180C65"/>
    <w:rsid w:val="00180E91"/>
    <w:rsid w:val="00180F6D"/>
    <w:rsid w:val="00181D09"/>
    <w:rsid w:val="00182224"/>
    <w:rsid w:val="00182719"/>
    <w:rsid w:val="00182874"/>
    <w:rsid w:val="00183450"/>
    <w:rsid w:val="00183628"/>
    <w:rsid w:val="001836E9"/>
    <w:rsid w:val="00183CAC"/>
    <w:rsid w:val="001841A3"/>
    <w:rsid w:val="001843B4"/>
    <w:rsid w:val="001844A0"/>
    <w:rsid w:val="00185F30"/>
    <w:rsid w:val="00186086"/>
    <w:rsid w:val="0018625C"/>
    <w:rsid w:val="0018681C"/>
    <w:rsid w:val="00186B91"/>
    <w:rsid w:val="00187820"/>
    <w:rsid w:val="00187CA5"/>
    <w:rsid w:val="00187DC5"/>
    <w:rsid w:val="001903A9"/>
    <w:rsid w:val="0019086B"/>
    <w:rsid w:val="00190F68"/>
    <w:rsid w:val="0019177E"/>
    <w:rsid w:val="001917A0"/>
    <w:rsid w:val="001917A7"/>
    <w:rsid w:val="00191952"/>
    <w:rsid w:val="00191BA6"/>
    <w:rsid w:val="00191C74"/>
    <w:rsid w:val="00191CE9"/>
    <w:rsid w:val="00192105"/>
    <w:rsid w:val="00192C32"/>
    <w:rsid w:val="00192C3C"/>
    <w:rsid w:val="00193734"/>
    <w:rsid w:val="0019448D"/>
    <w:rsid w:val="00194EB8"/>
    <w:rsid w:val="0019521A"/>
    <w:rsid w:val="0019522D"/>
    <w:rsid w:val="0019560C"/>
    <w:rsid w:val="00195688"/>
    <w:rsid w:val="00195BA0"/>
    <w:rsid w:val="00195E45"/>
    <w:rsid w:val="00195EB6"/>
    <w:rsid w:val="00196596"/>
    <w:rsid w:val="00196B24"/>
    <w:rsid w:val="00196FA1"/>
    <w:rsid w:val="00197356"/>
    <w:rsid w:val="001A0280"/>
    <w:rsid w:val="001A06EC"/>
    <w:rsid w:val="001A09BC"/>
    <w:rsid w:val="001A09D9"/>
    <w:rsid w:val="001A0B36"/>
    <w:rsid w:val="001A0CC7"/>
    <w:rsid w:val="001A15B3"/>
    <w:rsid w:val="001A15DF"/>
    <w:rsid w:val="001A176D"/>
    <w:rsid w:val="001A292A"/>
    <w:rsid w:val="001A2CA0"/>
    <w:rsid w:val="001A357B"/>
    <w:rsid w:val="001A373E"/>
    <w:rsid w:val="001A3758"/>
    <w:rsid w:val="001A3A9C"/>
    <w:rsid w:val="001A3D5D"/>
    <w:rsid w:val="001A3E2E"/>
    <w:rsid w:val="001A407C"/>
    <w:rsid w:val="001A436A"/>
    <w:rsid w:val="001A43C2"/>
    <w:rsid w:val="001A4BCF"/>
    <w:rsid w:val="001A4E5A"/>
    <w:rsid w:val="001A576F"/>
    <w:rsid w:val="001A5AB3"/>
    <w:rsid w:val="001A5D7A"/>
    <w:rsid w:val="001A6102"/>
    <w:rsid w:val="001A6129"/>
    <w:rsid w:val="001A6363"/>
    <w:rsid w:val="001A63D5"/>
    <w:rsid w:val="001A6535"/>
    <w:rsid w:val="001A6939"/>
    <w:rsid w:val="001A6A1A"/>
    <w:rsid w:val="001A6BB6"/>
    <w:rsid w:val="001A6D9B"/>
    <w:rsid w:val="001A6DC9"/>
    <w:rsid w:val="001A6E24"/>
    <w:rsid w:val="001A6F7A"/>
    <w:rsid w:val="001A6FCE"/>
    <w:rsid w:val="001A70BA"/>
    <w:rsid w:val="001A73B6"/>
    <w:rsid w:val="001A79B6"/>
    <w:rsid w:val="001A7A3F"/>
    <w:rsid w:val="001A7CFD"/>
    <w:rsid w:val="001B006B"/>
    <w:rsid w:val="001B0842"/>
    <w:rsid w:val="001B0BB7"/>
    <w:rsid w:val="001B1C87"/>
    <w:rsid w:val="001B278E"/>
    <w:rsid w:val="001B28FD"/>
    <w:rsid w:val="001B2C78"/>
    <w:rsid w:val="001B2CB2"/>
    <w:rsid w:val="001B2E30"/>
    <w:rsid w:val="001B2F33"/>
    <w:rsid w:val="001B2F84"/>
    <w:rsid w:val="001B357D"/>
    <w:rsid w:val="001B35CF"/>
    <w:rsid w:val="001B3864"/>
    <w:rsid w:val="001B3CB9"/>
    <w:rsid w:val="001B3CBD"/>
    <w:rsid w:val="001B3EAE"/>
    <w:rsid w:val="001B3F04"/>
    <w:rsid w:val="001B5042"/>
    <w:rsid w:val="001B5225"/>
    <w:rsid w:val="001B53E0"/>
    <w:rsid w:val="001B54BA"/>
    <w:rsid w:val="001B5EBC"/>
    <w:rsid w:val="001B6420"/>
    <w:rsid w:val="001B6471"/>
    <w:rsid w:val="001B6FE3"/>
    <w:rsid w:val="001B7B8F"/>
    <w:rsid w:val="001B7F3B"/>
    <w:rsid w:val="001C0002"/>
    <w:rsid w:val="001C00A7"/>
    <w:rsid w:val="001C0E96"/>
    <w:rsid w:val="001C18F0"/>
    <w:rsid w:val="001C1DCD"/>
    <w:rsid w:val="001C217A"/>
    <w:rsid w:val="001C2484"/>
    <w:rsid w:val="001C2532"/>
    <w:rsid w:val="001C25A3"/>
    <w:rsid w:val="001C2692"/>
    <w:rsid w:val="001C29F1"/>
    <w:rsid w:val="001C2CDA"/>
    <w:rsid w:val="001C3088"/>
    <w:rsid w:val="001C31C8"/>
    <w:rsid w:val="001C3202"/>
    <w:rsid w:val="001C3290"/>
    <w:rsid w:val="001C3525"/>
    <w:rsid w:val="001C3577"/>
    <w:rsid w:val="001C366F"/>
    <w:rsid w:val="001C3EE8"/>
    <w:rsid w:val="001C4723"/>
    <w:rsid w:val="001C481B"/>
    <w:rsid w:val="001C48E5"/>
    <w:rsid w:val="001C4981"/>
    <w:rsid w:val="001C5246"/>
    <w:rsid w:val="001C52F1"/>
    <w:rsid w:val="001C5957"/>
    <w:rsid w:val="001C5B0A"/>
    <w:rsid w:val="001C611D"/>
    <w:rsid w:val="001C66FA"/>
    <w:rsid w:val="001C6F71"/>
    <w:rsid w:val="001C706F"/>
    <w:rsid w:val="001C721C"/>
    <w:rsid w:val="001C73A2"/>
    <w:rsid w:val="001C73DD"/>
    <w:rsid w:val="001C765E"/>
    <w:rsid w:val="001C76CB"/>
    <w:rsid w:val="001C784A"/>
    <w:rsid w:val="001D08F5"/>
    <w:rsid w:val="001D0920"/>
    <w:rsid w:val="001D0A42"/>
    <w:rsid w:val="001D0EB7"/>
    <w:rsid w:val="001D0F94"/>
    <w:rsid w:val="001D12DD"/>
    <w:rsid w:val="001D18DC"/>
    <w:rsid w:val="001D2716"/>
    <w:rsid w:val="001D2F0B"/>
    <w:rsid w:val="001D2FBC"/>
    <w:rsid w:val="001D396A"/>
    <w:rsid w:val="001D3A8A"/>
    <w:rsid w:val="001D3C31"/>
    <w:rsid w:val="001D484D"/>
    <w:rsid w:val="001D4AEF"/>
    <w:rsid w:val="001D4BDF"/>
    <w:rsid w:val="001D58D8"/>
    <w:rsid w:val="001D5B2D"/>
    <w:rsid w:val="001D5CE0"/>
    <w:rsid w:val="001D662E"/>
    <w:rsid w:val="001D751E"/>
    <w:rsid w:val="001D7699"/>
    <w:rsid w:val="001D790C"/>
    <w:rsid w:val="001D7B62"/>
    <w:rsid w:val="001D7DD2"/>
    <w:rsid w:val="001E09B9"/>
    <w:rsid w:val="001E0C9A"/>
    <w:rsid w:val="001E0EB5"/>
    <w:rsid w:val="001E1531"/>
    <w:rsid w:val="001E15CB"/>
    <w:rsid w:val="001E1B93"/>
    <w:rsid w:val="001E1D17"/>
    <w:rsid w:val="001E2CE2"/>
    <w:rsid w:val="001E30EA"/>
    <w:rsid w:val="001E387E"/>
    <w:rsid w:val="001E3C03"/>
    <w:rsid w:val="001E4AC6"/>
    <w:rsid w:val="001E4B77"/>
    <w:rsid w:val="001E4E96"/>
    <w:rsid w:val="001E50D6"/>
    <w:rsid w:val="001E5499"/>
    <w:rsid w:val="001E5C96"/>
    <w:rsid w:val="001E5E42"/>
    <w:rsid w:val="001E64D4"/>
    <w:rsid w:val="001E68FE"/>
    <w:rsid w:val="001E6F30"/>
    <w:rsid w:val="001E7241"/>
    <w:rsid w:val="001E7F61"/>
    <w:rsid w:val="001E7F62"/>
    <w:rsid w:val="001F0A35"/>
    <w:rsid w:val="001F1023"/>
    <w:rsid w:val="001F113E"/>
    <w:rsid w:val="001F12CB"/>
    <w:rsid w:val="001F1D47"/>
    <w:rsid w:val="001F2144"/>
    <w:rsid w:val="001F28D5"/>
    <w:rsid w:val="001F2E9E"/>
    <w:rsid w:val="001F2F2F"/>
    <w:rsid w:val="001F348D"/>
    <w:rsid w:val="001F36FF"/>
    <w:rsid w:val="001F441F"/>
    <w:rsid w:val="001F4A28"/>
    <w:rsid w:val="001F5A43"/>
    <w:rsid w:val="001F6360"/>
    <w:rsid w:val="001F6C27"/>
    <w:rsid w:val="001F6FEB"/>
    <w:rsid w:val="001F729E"/>
    <w:rsid w:val="001F78AF"/>
    <w:rsid w:val="002009A6"/>
    <w:rsid w:val="00200A43"/>
    <w:rsid w:val="00200AAA"/>
    <w:rsid w:val="00200B22"/>
    <w:rsid w:val="00200B96"/>
    <w:rsid w:val="00201124"/>
    <w:rsid w:val="0020126F"/>
    <w:rsid w:val="002016B6"/>
    <w:rsid w:val="00201A01"/>
    <w:rsid w:val="00202439"/>
    <w:rsid w:val="00202590"/>
    <w:rsid w:val="00202B5A"/>
    <w:rsid w:val="00202BD2"/>
    <w:rsid w:val="002033D7"/>
    <w:rsid w:val="00203D8B"/>
    <w:rsid w:val="00204015"/>
    <w:rsid w:val="002040F6"/>
    <w:rsid w:val="002044D0"/>
    <w:rsid w:val="00205239"/>
    <w:rsid w:val="00205339"/>
    <w:rsid w:val="002055FD"/>
    <w:rsid w:val="00205C13"/>
    <w:rsid w:val="00205F63"/>
    <w:rsid w:val="00206EAD"/>
    <w:rsid w:val="002070B5"/>
    <w:rsid w:val="0020792F"/>
    <w:rsid w:val="00207BBB"/>
    <w:rsid w:val="00207E8F"/>
    <w:rsid w:val="00207FCC"/>
    <w:rsid w:val="00210137"/>
    <w:rsid w:val="00210991"/>
    <w:rsid w:val="00210AEB"/>
    <w:rsid w:val="00210D23"/>
    <w:rsid w:val="00211BA0"/>
    <w:rsid w:val="002125FA"/>
    <w:rsid w:val="00212807"/>
    <w:rsid w:val="00213089"/>
    <w:rsid w:val="002136A2"/>
    <w:rsid w:val="002137A8"/>
    <w:rsid w:val="00213961"/>
    <w:rsid w:val="00213AD5"/>
    <w:rsid w:val="00214712"/>
    <w:rsid w:val="00214DAF"/>
    <w:rsid w:val="00214EDA"/>
    <w:rsid w:val="00215705"/>
    <w:rsid w:val="002166DC"/>
    <w:rsid w:val="00217525"/>
    <w:rsid w:val="0021776F"/>
    <w:rsid w:val="00217830"/>
    <w:rsid w:val="00220157"/>
    <w:rsid w:val="00220630"/>
    <w:rsid w:val="0022077B"/>
    <w:rsid w:val="00220960"/>
    <w:rsid w:val="002209AA"/>
    <w:rsid w:val="00220E44"/>
    <w:rsid w:val="002211C2"/>
    <w:rsid w:val="00221488"/>
    <w:rsid w:val="0022149B"/>
    <w:rsid w:val="00221667"/>
    <w:rsid w:val="00221A63"/>
    <w:rsid w:val="00221F53"/>
    <w:rsid w:val="00222AB5"/>
    <w:rsid w:val="002232D9"/>
    <w:rsid w:val="00223535"/>
    <w:rsid w:val="00223A33"/>
    <w:rsid w:val="002241FB"/>
    <w:rsid w:val="0022435E"/>
    <w:rsid w:val="00224476"/>
    <w:rsid w:val="00224F32"/>
    <w:rsid w:val="0022559D"/>
    <w:rsid w:val="002271F4"/>
    <w:rsid w:val="00227207"/>
    <w:rsid w:val="00227A64"/>
    <w:rsid w:val="00227C66"/>
    <w:rsid w:val="00227CE4"/>
    <w:rsid w:val="00230193"/>
    <w:rsid w:val="00230323"/>
    <w:rsid w:val="00230679"/>
    <w:rsid w:val="00230957"/>
    <w:rsid w:val="00230B3C"/>
    <w:rsid w:val="00230C01"/>
    <w:rsid w:val="002315F7"/>
    <w:rsid w:val="00231DB5"/>
    <w:rsid w:val="00231EEB"/>
    <w:rsid w:val="00231F42"/>
    <w:rsid w:val="00232981"/>
    <w:rsid w:val="00232DCF"/>
    <w:rsid w:val="00232E75"/>
    <w:rsid w:val="00232EEB"/>
    <w:rsid w:val="00232FE1"/>
    <w:rsid w:val="002335EF"/>
    <w:rsid w:val="0023395D"/>
    <w:rsid w:val="00233D8F"/>
    <w:rsid w:val="00233ED3"/>
    <w:rsid w:val="00234400"/>
    <w:rsid w:val="00234500"/>
    <w:rsid w:val="002348D4"/>
    <w:rsid w:val="002349DB"/>
    <w:rsid w:val="00234BFC"/>
    <w:rsid w:val="00234D78"/>
    <w:rsid w:val="002358D6"/>
    <w:rsid w:val="00235AEF"/>
    <w:rsid w:val="00235C47"/>
    <w:rsid w:val="002369CF"/>
    <w:rsid w:val="00236E82"/>
    <w:rsid w:val="00237104"/>
    <w:rsid w:val="00237380"/>
    <w:rsid w:val="00237B4F"/>
    <w:rsid w:val="0024044A"/>
    <w:rsid w:val="002405B9"/>
    <w:rsid w:val="002408C2"/>
    <w:rsid w:val="00240934"/>
    <w:rsid w:val="002410A6"/>
    <w:rsid w:val="00241A01"/>
    <w:rsid w:val="0024214C"/>
    <w:rsid w:val="002421C6"/>
    <w:rsid w:val="00242B4C"/>
    <w:rsid w:val="0024327F"/>
    <w:rsid w:val="00243355"/>
    <w:rsid w:val="002435B7"/>
    <w:rsid w:val="00243B8E"/>
    <w:rsid w:val="002441D8"/>
    <w:rsid w:val="00244B9B"/>
    <w:rsid w:val="00246B1B"/>
    <w:rsid w:val="00246DCE"/>
    <w:rsid w:val="00246F58"/>
    <w:rsid w:val="00247749"/>
    <w:rsid w:val="00247DFE"/>
    <w:rsid w:val="00250A08"/>
    <w:rsid w:val="00250B3C"/>
    <w:rsid w:val="00251376"/>
    <w:rsid w:val="00251625"/>
    <w:rsid w:val="002517E0"/>
    <w:rsid w:val="00251980"/>
    <w:rsid w:val="00251A56"/>
    <w:rsid w:val="0025271A"/>
    <w:rsid w:val="00252783"/>
    <w:rsid w:val="00252D31"/>
    <w:rsid w:val="002530A7"/>
    <w:rsid w:val="00253D69"/>
    <w:rsid w:val="002541F6"/>
    <w:rsid w:val="002545FD"/>
    <w:rsid w:val="00254B44"/>
    <w:rsid w:val="00254CFC"/>
    <w:rsid w:val="00255187"/>
    <w:rsid w:val="00255ACF"/>
    <w:rsid w:val="0025645D"/>
    <w:rsid w:val="00256F51"/>
    <w:rsid w:val="002571BB"/>
    <w:rsid w:val="00257316"/>
    <w:rsid w:val="002578B0"/>
    <w:rsid w:val="002600B7"/>
    <w:rsid w:val="00261036"/>
    <w:rsid w:val="002616CF"/>
    <w:rsid w:val="00261DC7"/>
    <w:rsid w:val="002622CB"/>
    <w:rsid w:val="00262C0C"/>
    <w:rsid w:val="00262DE3"/>
    <w:rsid w:val="00262EC6"/>
    <w:rsid w:val="00262FC4"/>
    <w:rsid w:val="0026311C"/>
    <w:rsid w:val="00263738"/>
    <w:rsid w:val="0026382A"/>
    <w:rsid w:val="002639DC"/>
    <w:rsid w:val="00263B18"/>
    <w:rsid w:val="00263FFC"/>
    <w:rsid w:val="0026585A"/>
    <w:rsid w:val="00265EDF"/>
    <w:rsid w:val="00265EE1"/>
    <w:rsid w:val="0026612B"/>
    <w:rsid w:val="00266585"/>
    <w:rsid w:val="00266CBA"/>
    <w:rsid w:val="00266F3C"/>
    <w:rsid w:val="00267A38"/>
    <w:rsid w:val="002715CC"/>
    <w:rsid w:val="002720F5"/>
    <w:rsid w:val="002721B4"/>
    <w:rsid w:val="00272858"/>
    <w:rsid w:val="00272B79"/>
    <w:rsid w:val="00273BB5"/>
    <w:rsid w:val="00273C52"/>
    <w:rsid w:val="00273E8B"/>
    <w:rsid w:val="00274058"/>
    <w:rsid w:val="00274498"/>
    <w:rsid w:val="002746CC"/>
    <w:rsid w:val="00274756"/>
    <w:rsid w:val="0027534E"/>
    <w:rsid w:val="0027572B"/>
    <w:rsid w:val="00276FE4"/>
    <w:rsid w:val="00277035"/>
    <w:rsid w:val="00277121"/>
    <w:rsid w:val="0027722B"/>
    <w:rsid w:val="0027744E"/>
    <w:rsid w:val="00277824"/>
    <w:rsid w:val="00280AE4"/>
    <w:rsid w:val="00280C19"/>
    <w:rsid w:val="00281146"/>
    <w:rsid w:val="0028133A"/>
    <w:rsid w:val="002815C2"/>
    <w:rsid w:val="00281607"/>
    <w:rsid w:val="002817B9"/>
    <w:rsid w:val="00281D53"/>
    <w:rsid w:val="00282156"/>
    <w:rsid w:val="002827EC"/>
    <w:rsid w:val="00282AB3"/>
    <w:rsid w:val="00283215"/>
    <w:rsid w:val="00283308"/>
    <w:rsid w:val="002836B3"/>
    <w:rsid w:val="00283A02"/>
    <w:rsid w:val="00283F82"/>
    <w:rsid w:val="00284369"/>
    <w:rsid w:val="00284B33"/>
    <w:rsid w:val="0028509A"/>
    <w:rsid w:val="00285435"/>
    <w:rsid w:val="0028606A"/>
    <w:rsid w:val="002860D9"/>
    <w:rsid w:val="002869BB"/>
    <w:rsid w:val="00286D90"/>
    <w:rsid w:val="00286EC6"/>
    <w:rsid w:val="00286F1D"/>
    <w:rsid w:val="00287073"/>
    <w:rsid w:val="00287248"/>
    <w:rsid w:val="0028724C"/>
    <w:rsid w:val="002879DF"/>
    <w:rsid w:val="00287A13"/>
    <w:rsid w:val="00287BD3"/>
    <w:rsid w:val="0029000C"/>
    <w:rsid w:val="00290341"/>
    <w:rsid w:val="00290A20"/>
    <w:rsid w:val="00290B5E"/>
    <w:rsid w:val="00290D6C"/>
    <w:rsid w:val="00290D85"/>
    <w:rsid w:val="00290F2D"/>
    <w:rsid w:val="00291887"/>
    <w:rsid w:val="002920DA"/>
    <w:rsid w:val="00292349"/>
    <w:rsid w:val="00292618"/>
    <w:rsid w:val="00292875"/>
    <w:rsid w:val="002928BB"/>
    <w:rsid w:val="00292E95"/>
    <w:rsid w:val="002935D2"/>
    <w:rsid w:val="00293863"/>
    <w:rsid w:val="00293878"/>
    <w:rsid w:val="002948E9"/>
    <w:rsid w:val="0029556B"/>
    <w:rsid w:val="0029563A"/>
    <w:rsid w:val="00295DD8"/>
    <w:rsid w:val="002966CB"/>
    <w:rsid w:val="00296D7E"/>
    <w:rsid w:val="00296E20"/>
    <w:rsid w:val="002972BF"/>
    <w:rsid w:val="00297480"/>
    <w:rsid w:val="002976D1"/>
    <w:rsid w:val="00297BAD"/>
    <w:rsid w:val="00297DE4"/>
    <w:rsid w:val="002A0015"/>
    <w:rsid w:val="002A0030"/>
    <w:rsid w:val="002A047C"/>
    <w:rsid w:val="002A07E9"/>
    <w:rsid w:val="002A197C"/>
    <w:rsid w:val="002A1C40"/>
    <w:rsid w:val="002A1F8A"/>
    <w:rsid w:val="002A29E8"/>
    <w:rsid w:val="002A2E99"/>
    <w:rsid w:val="002A2F6C"/>
    <w:rsid w:val="002A3338"/>
    <w:rsid w:val="002A3375"/>
    <w:rsid w:val="002A3D30"/>
    <w:rsid w:val="002A3E3C"/>
    <w:rsid w:val="002A4374"/>
    <w:rsid w:val="002A4588"/>
    <w:rsid w:val="002A5590"/>
    <w:rsid w:val="002A5D4A"/>
    <w:rsid w:val="002A62B6"/>
    <w:rsid w:val="002A643C"/>
    <w:rsid w:val="002A6B2E"/>
    <w:rsid w:val="002A73CD"/>
    <w:rsid w:val="002A7546"/>
    <w:rsid w:val="002A76D3"/>
    <w:rsid w:val="002A76E6"/>
    <w:rsid w:val="002A7AE5"/>
    <w:rsid w:val="002A7EFC"/>
    <w:rsid w:val="002B047B"/>
    <w:rsid w:val="002B0FC9"/>
    <w:rsid w:val="002B1118"/>
    <w:rsid w:val="002B164C"/>
    <w:rsid w:val="002B185B"/>
    <w:rsid w:val="002B2710"/>
    <w:rsid w:val="002B2981"/>
    <w:rsid w:val="002B29F9"/>
    <w:rsid w:val="002B2AE5"/>
    <w:rsid w:val="002B36A0"/>
    <w:rsid w:val="002B3838"/>
    <w:rsid w:val="002B3D39"/>
    <w:rsid w:val="002B3D7E"/>
    <w:rsid w:val="002B438D"/>
    <w:rsid w:val="002B47F5"/>
    <w:rsid w:val="002B4A9F"/>
    <w:rsid w:val="002B4B9C"/>
    <w:rsid w:val="002B4FB0"/>
    <w:rsid w:val="002B5223"/>
    <w:rsid w:val="002B539F"/>
    <w:rsid w:val="002B5521"/>
    <w:rsid w:val="002B55A7"/>
    <w:rsid w:val="002B5B4D"/>
    <w:rsid w:val="002B5B75"/>
    <w:rsid w:val="002B5EC3"/>
    <w:rsid w:val="002B6079"/>
    <w:rsid w:val="002B688B"/>
    <w:rsid w:val="002B6FD2"/>
    <w:rsid w:val="002B7DFD"/>
    <w:rsid w:val="002C0097"/>
    <w:rsid w:val="002C0582"/>
    <w:rsid w:val="002C0657"/>
    <w:rsid w:val="002C117E"/>
    <w:rsid w:val="002C1180"/>
    <w:rsid w:val="002C1360"/>
    <w:rsid w:val="002C187B"/>
    <w:rsid w:val="002C20D0"/>
    <w:rsid w:val="002C21AF"/>
    <w:rsid w:val="002C28A7"/>
    <w:rsid w:val="002C2B1F"/>
    <w:rsid w:val="002C2B42"/>
    <w:rsid w:val="002C2BE1"/>
    <w:rsid w:val="002C33E2"/>
    <w:rsid w:val="002C33F2"/>
    <w:rsid w:val="002C3BAB"/>
    <w:rsid w:val="002C3C3A"/>
    <w:rsid w:val="002C3EDD"/>
    <w:rsid w:val="002C48C9"/>
    <w:rsid w:val="002C4BD5"/>
    <w:rsid w:val="002C4D3E"/>
    <w:rsid w:val="002C5610"/>
    <w:rsid w:val="002C5E69"/>
    <w:rsid w:val="002C6210"/>
    <w:rsid w:val="002C6473"/>
    <w:rsid w:val="002C6620"/>
    <w:rsid w:val="002C66CA"/>
    <w:rsid w:val="002C6DE6"/>
    <w:rsid w:val="002C7285"/>
    <w:rsid w:val="002C79FC"/>
    <w:rsid w:val="002C7BF0"/>
    <w:rsid w:val="002C7D64"/>
    <w:rsid w:val="002C7FB1"/>
    <w:rsid w:val="002C7FC8"/>
    <w:rsid w:val="002D004C"/>
    <w:rsid w:val="002D0607"/>
    <w:rsid w:val="002D065C"/>
    <w:rsid w:val="002D0D2B"/>
    <w:rsid w:val="002D0FED"/>
    <w:rsid w:val="002D151D"/>
    <w:rsid w:val="002D1D85"/>
    <w:rsid w:val="002D2222"/>
    <w:rsid w:val="002D23D3"/>
    <w:rsid w:val="002D24D7"/>
    <w:rsid w:val="002D28C1"/>
    <w:rsid w:val="002D2BD8"/>
    <w:rsid w:val="002D361C"/>
    <w:rsid w:val="002D3C29"/>
    <w:rsid w:val="002D44A3"/>
    <w:rsid w:val="002D47E7"/>
    <w:rsid w:val="002D549B"/>
    <w:rsid w:val="002D5574"/>
    <w:rsid w:val="002D694A"/>
    <w:rsid w:val="002D6D2C"/>
    <w:rsid w:val="002D6D61"/>
    <w:rsid w:val="002D70EF"/>
    <w:rsid w:val="002D75FF"/>
    <w:rsid w:val="002D7D1D"/>
    <w:rsid w:val="002D7EB8"/>
    <w:rsid w:val="002D7F8E"/>
    <w:rsid w:val="002E016A"/>
    <w:rsid w:val="002E14E9"/>
    <w:rsid w:val="002E1643"/>
    <w:rsid w:val="002E18E4"/>
    <w:rsid w:val="002E18FC"/>
    <w:rsid w:val="002E1D54"/>
    <w:rsid w:val="002E2496"/>
    <w:rsid w:val="002E2622"/>
    <w:rsid w:val="002E3024"/>
    <w:rsid w:val="002E317B"/>
    <w:rsid w:val="002E34D5"/>
    <w:rsid w:val="002E3727"/>
    <w:rsid w:val="002E3B3C"/>
    <w:rsid w:val="002E3DD4"/>
    <w:rsid w:val="002E4420"/>
    <w:rsid w:val="002E59EA"/>
    <w:rsid w:val="002E69F2"/>
    <w:rsid w:val="002E7B62"/>
    <w:rsid w:val="002E7C71"/>
    <w:rsid w:val="002E7CE4"/>
    <w:rsid w:val="002F051B"/>
    <w:rsid w:val="002F06B3"/>
    <w:rsid w:val="002F0B4E"/>
    <w:rsid w:val="002F152D"/>
    <w:rsid w:val="002F17A3"/>
    <w:rsid w:val="002F1AED"/>
    <w:rsid w:val="002F2A06"/>
    <w:rsid w:val="002F2A28"/>
    <w:rsid w:val="002F2B2A"/>
    <w:rsid w:val="002F2B88"/>
    <w:rsid w:val="002F2DDF"/>
    <w:rsid w:val="002F2EE8"/>
    <w:rsid w:val="002F30AB"/>
    <w:rsid w:val="002F35A1"/>
    <w:rsid w:val="002F3E90"/>
    <w:rsid w:val="002F64F8"/>
    <w:rsid w:val="002F668B"/>
    <w:rsid w:val="002F7062"/>
    <w:rsid w:val="002F75A0"/>
    <w:rsid w:val="002F7933"/>
    <w:rsid w:val="003008E6"/>
    <w:rsid w:val="00300A30"/>
    <w:rsid w:val="00300CEE"/>
    <w:rsid w:val="00300EF5"/>
    <w:rsid w:val="00300FF2"/>
    <w:rsid w:val="003020AB"/>
    <w:rsid w:val="0030211F"/>
    <w:rsid w:val="0030217F"/>
    <w:rsid w:val="00302647"/>
    <w:rsid w:val="003026A0"/>
    <w:rsid w:val="00302C66"/>
    <w:rsid w:val="00302EA6"/>
    <w:rsid w:val="00302FBC"/>
    <w:rsid w:val="003030C9"/>
    <w:rsid w:val="0030348A"/>
    <w:rsid w:val="00303AB3"/>
    <w:rsid w:val="00303B10"/>
    <w:rsid w:val="00303B65"/>
    <w:rsid w:val="00304422"/>
    <w:rsid w:val="00304895"/>
    <w:rsid w:val="00304965"/>
    <w:rsid w:val="00304B1A"/>
    <w:rsid w:val="00304DED"/>
    <w:rsid w:val="00305331"/>
    <w:rsid w:val="00305F84"/>
    <w:rsid w:val="00305FDF"/>
    <w:rsid w:val="0030605D"/>
    <w:rsid w:val="00306072"/>
    <w:rsid w:val="00306549"/>
    <w:rsid w:val="003066FC"/>
    <w:rsid w:val="003073C1"/>
    <w:rsid w:val="00310207"/>
    <w:rsid w:val="003105E7"/>
    <w:rsid w:val="00310855"/>
    <w:rsid w:val="0031132D"/>
    <w:rsid w:val="003114BD"/>
    <w:rsid w:val="0031174E"/>
    <w:rsid w:val="00312185"/>
    <w:rsid w:val="0031227B"/>
    <w:rsid w:val="00312724"/>
    <w:rsid w:val="003127D2"/>
    <w:rsid w:val="0031373A"/>
    <w:rsid w:val="00314056"/>
    <w:rsid w:val="00314328"/>
    <w:rsid w:val="00314AF7"/>
    <w:rsid w:val="00314F85"/>
    <w:rsid w:val="003151D2"/>
    <w:rsid w:val="0031560C"/>
    <w:rsid w:val="00315685"/>
    <w:rsid w:val="00315AC6"/>
    <w:rsid w:val="00315CFD"/>
    <w:rsid w:val="00316090"/>
    <w:rsid w:val="003162B5"/>
    <w:rsid w:val="00316459"/>
    <w:rsid w:val="00316639"/>
    <w:rsid w:val="00316744"/>
    <w:rsid w:val="00316DAA"/>
    <w:rsid w:val="0031718C"/>
    <w:rsid w:val="003171E4"/>
    <w:rsid w:val="003172CD"/>
    <w:rsid w:val="003175B0"/>
    <w:rsid w:val="00317A02"/>
    <w:rsid w:val="00320868"/>
    <w:rsid w:val="00320946"/>
    <w:rsid w:val="003212D9"/>
    <w:rsid w:val="00321785"/>
    <w:rsid w:val="00321C18"/>
    <w:rsid w:val="00321CEE"/>
    <w:rsid w:val="00322578"/>
    <w:rsid w:val="00322812"/>
    <w:rsid w:val="00322944"/>
    <w:rsid w:val="00322C71"/>
    <w:rsid w:val="00322EB6"/>
    <w:rsid w:val="00323080"/>
    <w:rsid w:val="0032341A"/>
    <w:rsid w:val="00323E7B"/>
    <w:rsid w:val="00323E81"/>
    <w:rsid w:val="00324642"/>
    <w:rsid w:val="003249FA"/>
    <w:rsid w:val="00324CDA"/>
    <w:rsid w:val="00325782"/>
    <w:rsid w:val="00325C53"/>
    <w:rsid w:val="00325C99"/>
    <w:rsid w:val="00325CBE"/>
    <w:rsid w:val="00326409"/>
    <w:rsid w:val="003268C0"/>
    <w:rsid w:val="00327168"/>
    <w:rsid w:val="0032742A"/>
    <w:rsid w:val="003276C5"/>
    <w:rsid w:val="00327898"/>
    <w:rsid w:val="00327B55"/>
    <w:rsid w:val="003302CB"/>
    <w:rsid w:val="00330989"/>
    <w:rsid w:val="00330B0F"/>
    <w:rsid w:val="00330C07"/>
    <w:rsid w:val="00330EB7"/>
    <w:rsid w:val="00330F6E"/>
    <w:rsid w:val="00331637"/>
    <w:rsid w:val="00331836"/>
    <w:rsid w:val="00331C0C"/>
    <w:rsid w:val="00331D1C"/>
    <w:rsid w:val="00331E06"/>
    <w:rsid w:val="00332166"/>
    <w:rsid w:val="003321FA"/>
    <w:rsid w:val="003322F5"/>
    <w:rsid w:val="00332AC4"/>
    <w:rsid w:val="0033358E"/>
    <w:rsid w:val="00333A06"/>
    <w:rsid w:val="00333A24"/>
    <w:rsid w:val="00333B81"/>
    <w:rsid w:val="00334C3E"/>
    <w:rsid w:val="00334CA9"/>
    <w:rsid w:val="00334E16"/>
    <w:rsid w:val="00334EDB"/>
    <w:rsid w:val="003354E9"/>
    <w:rsid w:val="00335ECB"/>
    <w:rsid w:val="00336193"/>
    <w:rsid w:val="00336342"/>
    <w:rsid w:val="0033649D"/>
    <w:rsid w:val="003366CA"/>
    <w:rsid w:val="00336A2B"/>
    <w:rsid w:val="00336A55"/>
    <w:rsid w:val="00336DE4"/>
    <w:rsid w:val="003370D8"/>
    <w:rsid w:val="00337A83"/>
    <w:rsid w:val="00340367"/>
    <w:rsid w:val="0034039C"/>
    <w:rsid w:val="0034052E"/>
    <w:rsid w:val="00340B26"/>
    <w:rsid w:val="003411CD"/>
    <w:rsid w:val="00341253"/>
    <w:rsid w:val="00341414"/>
    <w:rsid w:val="0034148B"/>
    <w:rsid w:val="00341A54"/>
    <w:rsid w:val="00342206"/>
    <w:rsid w:val="0034244B"/>
    <w:rsid w:val="00342F1B"/>
    <w:rsid w:val="0034314E"/>
    <w:rsid w:val="003454AC"/>
    <w:rsid w:val="00345855"/>
    <w:rsid w:val="00345CAD"/>
    <w:rsid w:val="00345FF7"/>
    <w:rsid w:val="00346212"/>
    <w:rsid w:val="00346712"/>
    <w:rsid w:val="00346F5C"/>
    <w:rsid w:val="00347155"/>
    <w:rsid w:val="0034757E"/>
    <w:rsid w:val="00347659"/>
    <w:rsid w:val="0034779F"/>
    <w:rsid w:val="0034786C"/>
    <w:rsid w:val="00347A78"/>
    <w:rsid w:val="003502E3"/>
    <w:rsid w:val="003508DD"/>
    <w:rsid w:val="0035121A"/>
    <w:rsid w:val="00351570"/>
    <w:rsid w:val="00351D6F"/>
    <w:rsid w:val="00351F96"/>
    <w:rsid w:val="00352431"/>
    <w:rsid w:val="003524E6"/>
    <w:rsid w:val="003526FA"/>
    <w:rsid w:val="00352A17"/>
    <w:rsid w:val="003535A1"/>
    <w:rsid w:val="003537A2"/>
    <w:rsid w:val="00353A7B"/>
    <w:rsid w:val="00353BAD"/>
    <w:rsid w:val="0035488A"/>
    <w:rsid w:val="00354C5F"/>
    <w:rsid w:val="00355947"/>
    <w:rsid w:val="003559D6"/>
    <w:rsid w:val="0035643E"/>
    <w:rsid w:val="003564C8"/>
    <w:rsid w:val="003564F0"/>
    <w:rsid w:val="003573F8"/>
    <w:rsid w:val="00357BD2"/>
    <w:rsid w:val="00357FF6"/>
    <w:rsid w:val="0036032E"/>
    <w:rsid w:val="0036051A"/>
    <w:rsid w:val="003609F8"/>
    <w:rsid w:val="00361511"/>
    <w:rsid w:val="0036191D"/>
    <w:rsid w:val="00361E97"/>
    <w:rsid w:val="003620A7"/>
    <w:rsid w:val="00362110"/>
    <w:rsid w:val="0036234A"/>
    <w:rsid w:val="0036235C"/>
    <w:rsid w:val="0036283E"/>
    <w:rsid w:val="003637C8"/>
    <w:rsid w:val="00363CD4"/>
    <w:rsid w:val="00364303"/>
    <w:rsid w:val="00364536"/>
    <w:rsid w:val="0036490A"/>
    <w:rsid w:val="00364BEF"/>
    <w:rsid w:val="0036609A"/>
    <w:rsid w:val="003667A3"/>
    <w:rsid w:val="00366851"/>
    <w:rsid w:val="003669F4"/>
    <w:rsid w:val="00366DB1"/>
    <w:rsid w:val="003671F1"/>
    <w:rsid w:val="0036724D"/>
    <w:rsid w:val="00370492"/>
    <w:rsid w:val="00370653"/>
    <w:rsid w:val="003714FF"/>
    <w:rsid w:val="00371EC0"/>
    <w:rsid w:val="00372094"/>
    <w:rsid w:val="00372E8D"/>
    <w:rsid w:val="003730FF"/>
    <w:rsid w:val="00373402"/>
    <w:rsid w:val="003738BA"/>
    <w:rsid w:val="00373B89"/>
    <w:rsid w:val="00373C21"/>
    <w:rsid w:val="00373DC5"/>
    <w:rsid w:val="00374377"/>
    <w:rsid w:val="003747A0"/>
    <w:rsid w:val="00374F49"/>
    <w:rsid w:val="00374F64"/>
    <w:rsid w:val="00375C1F"/>
    <w:rsid w:val="00375F52"/>
    <w:rsid w:val="003760E5"/>
    <w:rsid w:val="0037693A"/>
    <w:rsid w:val="00376B39"/>
    <w:rsid w:val="00376BBC"/>
    <w:rsid w:val="00376FF3"/>
    <w:rsid w:val="00377591"/>
    <w:rsid w:val="00377ACD"/>
    <w:rsid w:val="00377C4A"/>
    <w:rsid w:val="003800DB"/>
    <w:rsid w:val="00380173"/>
    <w:rsid w:val="00380915"/>
    <w:rsid w:val="00380C5A"/>
    <w:rsid w:val="0038142D"/>
    <w:rsid w:val="00381597"/>
    <w:rsid w:val="00382344"/>
    <w:rsid w:val="00382970"/>
    <w:rsid w:val="003829C2"/>
    <w:rsid w:val="00383241"/>
    <w:rsid w:val="0038355C"/>
    <w:rsid w:val="00383EFC"/>
    <w:rsid w:val="003841AB"/>
    <w:rsid w:val="003845A1"/>
    <w:rsid w:val="00384767"/>
    <w:rsid w:val="00384779"/>
    <w:rsid w:val="00384856"/>
    <w:rsid w:val="00384C79"/>
    <w:rsid w:val="00384DF1"/>
    <w:rsid w:val="00385072"/>
    <w:rsid w:val="003850DF"/>
    <w:rsid w:val="00385680"/>
    <w:rsid w:val="003857B6"/>
    <w:rsid w:val="003857D5"/>
    <w:rsid w:val="00385873"/>
    <w:rsid w:val="00386066"/>
    <w:rsid w:val="00386937"/>
    <w:rsid w:val="00386C45"/>
    <w:rsid w:val="0038735B"/>
    <w:rsid w:val="0038785A"/>
    <w:rsid w:val="003878F9"/>
    <w:rsid w:val="00387BBD"/>
    <w:rsid w:val="003902D2"/>
    <w:rsid w:val="003906FC"/>
    <w:rsid w:val="00390870"/>
    <w:rsid w:val="00390F45"/>
    <w:rsid w:val="00391376"/>
    <w:rsid w:val="00391737"/>
    <w:rsid w:val="00391C49"/>
    <w:rsid w:val="00392EE0"/>
    <w:rsid w:val="003930A5"/>
    <w:rsid w:val="003934DA"/>
    <w:rsid w:val="0039357D"/>
    <w:rsid w:val="00393925"/>
    <w:rsid w:val="00393CD5"/>
    <w:rsid w:val="00393FF2"/>
    <w:rsid w:val="003947A9"/>
    <w:rsid w:val="00394817"/>
    <w:rsid w:val="0039496E"/>
    <w:rsid w:val="00394C04"/>
    <w:rsid w:val="00394C95"/>
    <w:rsid w:val="00394DB3"/>
    <w:rsid w:val="00395007"/>
    <w:rsid w:val="00395751"/>
    <w:rsid w:val="00395981"/>
    <w:rsid w:val="00395ABD"/>
    <w:rsid w:val="00395BE2"/>
    <w:rsid w:val="003960C7"/>
    <w:rsid w:val="00396750"/>
    <w:rsid w:val="00396BB8"/>
    <w:rsid w:val="003973B2"/>
    <w:rsid w:val="00397A73"/>
    <w:rsid w:val="00397BEE"/>
    <w:rsid w:val="00397C5F"/>
    <w:rsid w:val="00397ED0"/>
    <w:rsid w:val="003A000A"/>
    <w:rsid w:val="003A0893"/>
    <w:rsid w:val="003A09DD"/>
    <w:rsid w:val="003A0A72"/>
    <w:rsid w:val="003A13B8"/>
    <w:rsid w:val="003A1AAC"/>
    <w:rsid w:val="003A1D9D"/>
    <w:rsid w:val="003A2133"/>
    <w:rsid w:val="003A2548"/>
    <w:rsid w:val="003A2582"/>
    <w:rsid w:val="003A2679"/>
    <w:rsid w:val="003A28C2"/>
    <w:rsid w:val="003A2C16"/>
    <w:rsid w:val="003A2F8C"/>
    <w:rsid w:val="003A394F"/>
    <w:rsid w:val="003A39D5"/>
    <w:rsid w:val="003A4110"/>
    <w:rsid w:val="003A4585"/>
    <w:rsid w:val="003A5773"/>
    <w:rsid w:val="003A58C6"/>
    <w:rsid w:val="003A5983"/>
    <w:rsid w:val="003A5B0D"/>
    <w:rsid w:val="003A5C4E"/>
    <w:rsid w:val="003A5E1A"/>
    <w:rsid w:val="003A63DE"/>
    <w:rsid w:val="003A67BE"/>
    <w:rsid w:val="003A6876"/>
    <w:rsid w:val="003A70E3"/>
    <w:rsid w:val="003A76D8"/>
    <w:rsid w:val="003A7C6F"/>
    <w:rsid w:val="003A7FF6"/>
    <w:rsid w:val="003B01E1"/>
    <w:rsid w:val="003B0988"/>
    <w:rsid w:val="003B0D05"/>
    <w:rsid w:val="003B0D1B"/>
    <w:rsid w:val="003B1163"/>
    <w:rsid w:val="003B1196"/>
    <w:rsid w:val="003B135D"/>
    <w:rsid w:val="003B13BF"/>
    <w:rsid w:val="003B1414"/>
    <w:rsid w:val="003B17E6"/>
    <w:rsid w:val="003B2393"/>
    <w:rsid w:val="003B2743"/>
    <w:rsid w:val="003B2B9B"/>
    <w:rsid w:val="003B2CB8"/>
    <w:rsid w:val="003B3952"/>
    <w:rsid w:val="003B3AB2"/>
    <w:rsid w:val="003B3DD6"/>
    <w:rsid w:val="003B421F"/>
    <w:rsid w:val="003B4529"/>
    <w:rsid w:val="003B4912"/>
    <w:rsid w:val="003B4A78"/>
    <w:rsid w:val="003B519E"/>
    <w:rsid w:val="003B52E0"/>
    <w:rsid w:val="003B5753"/>
    <w:rsid w:val="003B592E"/>
    <w:rsid w:val="003B5C34"/>
    <w:rsid w:val="003B6028"/>
    <w:rsid w:val="003B6E08"/>
    <w:rsid w:val="003B6E16"/>
    <w:rsid w:val="003B7005"/>
    <w:rsid w:val="003B7026"/>
    <w:rsid w:val="003B7588"/>
    <w:rsid w:val="003B7C96"/>
    <w:rsid w:val="003C098D"/>
    <w:rsid w:val="003C09D1"/>
    <w:rsid w:val="003C0ADF"/>
    <w:rsid w:val="003C10A1"/>
    <w:rsid w:val="003C1554"/>
    <w:rsid w:val="003C16FD"/>
    <w:rsid w:val="003C1DE1"/>
    <w:rsid w:val="003C20B6"/>
    <w:rsid w:val="003C2807"/>
    <w:rsid w:val="003C2F3A"/>
    <w:rsid w:val="003C3179"/>
    <w:rsid w:val="003C323D"/>
    <w:rsid w:val="003C32B5"/>
    <w:rsid w:val="003C3695"/>
    <w:rsid w:val="003C3B9D"/>
    <w:rsid w:val="003C4038"/>
    <w:rsid w:val="003C406F"/>
    <w:rsid w:val="003C40EE"/>
    <w:rsid w:val="003C4E25"/>
    <w:rsid w:val="003C55F5"/>
    <w:rsid w:val="003C57F5"/>
    <w:rsid w:val="003C6888"/>
    <w:rsid w:val="003C6AF6"/>
    <w:rsid w:val="003C6C3F"/>
    <w:rsid w:val="003C6DC5"/>
    <w:rsid w:val="003C6F27"/>
    <w:rsid w:val="003C755F"/>
    <w:rsid w:val="003D007E"/>
    <w:rsid w:val="003D08FA"/>
    <w:rsid w:val="003D09D9"/>
    <w:rsid w:val="003D0EA4"/>
    <w:rsid w:val="003D1244"/>
    <w:rsid w:val="003D1495"/>
    <w:rsid w:val="003D184C"/>
    <w:rsid w:val="003D1A88"/>
    <w:rsid w:val="003D27B3"/>
    <w:rsid w:val="003D3017"/>
    <w:rsid w:val="003D39EF"/>
    <w:rsid w:val="003D3CC7"/>
    <w:rsid w:val="003D4385"/>
    <w:rsid w:val="003D43E0"/>
    <w:rsid w:val="003D45D7"/>
    <w:rsid w:val="003D49B3"/>
    <w:rsid w:val="003D49E5"/>
    <w:rsid w:val="003D5183"/>
    <w:rsid w:val="003D5D35"/>
    <w:rsid w:val="003D5F7B"/>
    <w:rsid w:val="003D6538"/>
    <w:rsid w:val="003D7852"/>
    <w:rsid w:val="003E0027"/>
    <w:rsid w:val="003E0DCD"/>
    <w:rsid w:val="003E0E61"/>
    <w:rsid w:val="003E1E99"/>
    <w:rsid w:val="003E1FA7"/>
    <w:rsid w:val="003E218B"/>
    <w:rsid w:val="003E2785"/>
    <w:rsid w:val="003E2A76"/>
    <w:rsid w:val="003E3211"/>
    <w:rsid w:val="003E32BB"/>
    <w:rsid w:val="003E36D8"/>
    <w:rsid w:val="003E3879"/>
    <w:rsid w:val="003E3C14"/>
    <w:rsid w:val="003E3C8F"/>
    <w:rsid w:val="003E4068"/>
    <w:rsid w:val="003E4114"/>
    <w:rsid w:val="003E425F"/>
    <w:rsid w:val="003E47A3"/>
    <w:rsid w:val="003E525F"/>
    <w:rsid w:val="003E53CD"/>
    <w:rsid w:val="003E5A9B"/>
    <w:rsid w:val="003E5D4A"/>
    <w:rsid w:val="003E5D7D"/>
    <w:rsid w:val="003E64FA"/>
    <w:rsid w:val="003E6BC5"/>
    <w:rsid w:val="003E7511"/>
    <w:rsid w:val="003E7A0F"/>
    <w:rsid w:val="003F011A"/>
    <w:rsid w:val="003F0AE0"/>
    <w:rsid w:val="003F2197"/>
    <w:rsid w:val="003F2E79"/>
    <w:rsid w:val="003F2EF6"/>
    <w:rsid w:val="003F3186"/>
    <w:rsid w:val="003F37BF"/>
    <w:rsid w:val="003F3DC9"/>
    <w:rsid w:val="003F42B5"/>
    <w:rsid w:val="003F437C"/>
    <w:rsid w:val="003F4386"/>
    <w:rsid w:val="003F4F65"/>
    <w:rsid w:val="003F6028"/>
    <w:rsid w:val="003F6398"/>
    <w:rsid w:val="003F6F85"/>
    <w:rsid w:val="003F744A"/>
    <w:rsid w:val="003F74CE"/>
    <w:rsid w:val="003F7543"/>
    <w:rsid w:val="003F787D"/>
    <w:rsid w:val="004001E8"/>
    <w:rsid w:val="0040025B"/>
    <w:rsid w:val="004002AB"/>
    <w:rsid w:val="00400527"/>
    <w:rsid w:val="00401766"/>
    <w:rsid w:val="00401A71"/>
    <w:rsid w:val="00401B5F"/>
    <w:rsid w:val="004024FB"/>
    <w:rsid w:val="00403511"/>
    <w:rsid w:val="004048E2"/>
    <w:rsid w:val="00404F85"/>
    <w:rsid w:val="00405A20"/>
    <w:rsid w:val="00405CD3"/>
    <w:rsid w:val="004066A1"/>
    <w:rsid w:val="00406BE5"/>
    <w:rsid w:val="00406C6D"/>
    <w:rsid w:val="00406EBB"/>
    <w:rsid w:val="004070FE"/>
    <w:rsid w:val="00407306"/>
    <w:rsid w:val="0040763D"/>
    <w:rsid w:val="0040793A"/>
    <w:rsid w:val="0040799A"/>
    <w:rsid w:val="00407C63"/>
    <w:rsid w:val="00407CBD"/>
    <w:rsid w:val="00410885"/>
    <w:rsid w:val="00410B74"/>
    <w:rsid w:val="00410BA5"/>
    <w:rsid w:val="00410E41"/>
    <w:rsid w:val="00410E63"/>
    <w:rsid w:val="004114BD"/>
    <w:rsid w:val="0041163A"/>
    <w:rsid w:val="004119D5"/>
    <w:rsid w:val="00411CD5"/>
    <w:rsid w:val="00411F5C"/>
    <w:rsid w:val="00411F6C"/>
    <w:rsid w:val="004123CE"/>
    <w:rsid w:val="0041263C"/>
    <w:rsid w:val="004126A2"/>
    <w:rsid w:val="00412BA2"/>
    <w:rsid w:val="00412E50"/>
    <w:rsid w:val="0041306C"/>
    <w:rsid w:val="00413AF5"/>
    <w:rsid w:val="00414179"/>
    <w:rsid w:val="004149DB"/>
    <w:rsid w:val="004150E9"/>
    <w:rsid w:val="00415773"/>
    <w:rsid w:val="00415995"/>
    <w:rsid w:val="00415E86"/>
    <w:rsid w:val="0041644F"/>
    <w:rsid w:val="0041647E"/>
    <w:rsid w:val="00416703"/>
    <w:rsid w:val="00416988"/>
    <w:rsid w:val="00417133"/>
    <w:rsid w:val="004177FD"/>
    <w:rsid w:val="00420445"/>
    <w:rsid w:val="004206C3"/>
    <w:rsid w:val="0042135F"/>
    <w:rsid w:val="00421844"/>
    <w:rsid w:val="00421A03"/>
    <w:rsid w:val="00421B37"/>
    <w:rsid w:val="00422190"/>
    <w:rsid w:val="00422233"/>
    <w:rsid w:val="004222A9"/>
    <w:rsid w:val="004225AE"/>
    <w:rsid w:val="00422A87"/>
    <w:rsid w:val="00422DA6"/>
    <w:rsid w:val="0042317E"/>
    <w:rsid w:val="004237A4"/>
    <w:rsid w:val="00423A10"/>
    <w:rsid w:val="00423E1F"/>
    <w:rsid w:val="0042434A"/>
    <w:rsid w:val="004243CC"/>
    <w:rsid w:val="00424A5B"/>
    <w:rsid w:val="00424C27"/>
    <w:rsid w:val="004251E2"/>
    <w:rsid w:val="00425A27"/>
    <w:rsid w:val="00425B20"/>
    <w:rsid w:val="00425CAE"/>
    <w:rsid w:val="004263CA"/>
    <w:rsid w:val="004266C8"/>
    <w:rsid w:val="00426707"/>
    <w:rsid w:val="004279B0"/>
    <w:rsid w:val="00427D39"/>
    <w:rsid w:val="00427F0F"/>
    <w:rsid w:val="004307C8"/>
    <w:rsid w:val="00430945"/>
    <w:rsid w:val="0043116C"/>
    <w:rsid w:val="00431414"/>
    <w:rsid w:val="004317D2"/>
    <w:rsid w:val="00431A20"/>
    <w:rsid w:val="004325C2"/>
    <w:rsid w:val="00432B11"/>
    <w:rsid w:val="0043308A"/>
    <w:rsid w:val="00433383"/>
    <w:rsid w:val="004333EE"/>
    <w:rsid w:val="0043418E"/>
    <w:rsid w:val="00434403"/>
    <w:rsid w:val="00434AEA"/>
    <w:rsid w:val="00434D50"/>
    <w:rsid w:val="00435037"/>
    <w:rsid w:val="0043520A"/>
    <w:rsid w:val="0043537C"/>
    <w:rsid w:val="004355DE"/>
    <w:rsid w:val="00435A5B"/>
    <w:rsid w:val="00435EAE"/>
    <w:rsid w:val="00436032"/>
    <w:rsid w:val="004360BD"/>
    <w:rsid w:val="0043643C"/>
    <w:rsid w:val="0043679E"/>
    <w:rsid w:val="00436A84"/>
    <w:rsid w:val="00437989"/>
    <w:rsid w:val="00440344"/>
    <w:rsid w:val="00440398"/>
    <w:rsid w:val="00440C34"/>
    <w:rsid w:val="00440C43"/>
    <w:rsid w:val="00440D47"/>
    <w:rsid w:val="00441D5A"/>
    <w:rsid w:val="00442755"/>
    <w:rsid w:val="00442CB2"/>
    <w:rsid w:val="00442D21"/>
    <w:rsid w:val="00443230"/>
    <w:rsid w:val="0044336D"/>
    <w:rsid w:val="0044355E"/>
    <w:rsid w:val="0044378F"/>
    <w:rsid w:val="00443ACB"/>
    <w:rsid w:val="004440FD"/>
    <w:rsid w:val="004441CD"/>
    <w:rsid w:val="0044454A"/>
    <w:rsid w:val="004445F1"/>
    <w:rsid w:val="0044464D"/>
    <w:rsid w:val="0044472F"/>
    <w:rsid w:val="00444796"/>
    <w:rsid w:val="00444B22"/>
    <w:rsid w:val="0044512F"/>
    <w:rsid w:val="004458B0"/>
    <w:rsid w:val="0044592E"/>
    <w:rsid w:val="0044596A"/>
    <w:rsid w:val="00445A59"/>
    <w:rsid w:val="00445DDE"/>
    <w:rsid w:val="00445E86"/>
    <w:rsid w:val="0044622A"/>
    <w:rsid w:val="00446A95"/>
    <w:rsid w:val="00446AF6"/>
    <w:rsid w:val="00446E05"/>
    <w:rsid w:val="00446F29"/>
    <w:rsid w:val="00446FEC"/>
    <w:rsid w:val="00447D2B"/>
    <w:rsid w:val="00447DD9"/>
    <w:rsid w:val="00450CDF"/>
    <w:rsid w:val="00450FB8"/>
    <w:rsid w:val="004512AE"/>
    <w:rsid w:val="00451B37"/>
    <w:rsid w:val="00452CCC"/>
    <w:rsid w:val="00453778"/>
    <w:rsid w:val="00453A39"/>
    <w:rsid w:val="004559DD"/>
    <w:rsid w:val="00456144"/>
    <w:rsid w:val="0045645F"/>
    <w:rsid w:val="00456475"/>
    <w:rsid w:val="004566F5"/>
    <w:rsid w:val="00456B26"/>
    <w:rsid w:val="00456ECD"/>
    <w:rsid w:val="00457164"/>
    <w:rsid w:val="0045724B"/>
    <w:rsid w:val="00457792"/>
    <w:rsid w:val="0046098B"/>
    <w:rsid w:val="004609EB"/>
    <w:rsid w:val="00460CA2"/>
    <w:rsid w:val="004611BA"/>
    <w:rsid w:val="004614C9"/>
    <w:rsid w:val="0046205D"/>
    <w:rsid w:val="0046216D"/>
    <w:rsid w:val="004635CD"/>
    <w:rsid w:val="00463936"/>
    <w:rsid w:val="00463D8E"/>
    <w:rsid w:val="004644BD"/>
    <w:rsid w:val="00464E9D"/>
    <w:rsid w:val="00465E7C"/>
    <w:rsid w:val="0046607B"/>
    <w:rsid w:val="0046639C"/>
    <w:rsid w:val="0046658A"/>
    <w:rsid w:val="00466DC5"/>
    <w:rsid w:val="00466F99"/>
    <w:rsid w:val="00467067"/>
    <w:rsid w:val="004670A1"/>
    <w:rsid w:val="004675F7"/>
    <w:rsid w:val="0046770C"/>
    <w:rsid w:val="00467711"/>
    <w:rsid w:val="00467947"/>
    <w:rsid w:val="004679F0"/>
    <w:rsid w:val="00467D04"/>
    <w:rsid w:val="00470C85"/>
    <w:rsid w:val="00470CB9"/>
    <w:rsid w:val="00470DD1"/>
    <w:rsid w:val="00471237"/>
    <w:rsid w:val="004713C2"/>
    <w:rsid w:val="00471604"/>
    <w:rsid w:val="00471A30"/>
    <w:rsid w:val="00471B80"/>
    <w:rsid w:val="0047250D"/>
    <w:rsid w:val="00472B3A"/>
    <w:rsid w:val="004731E8"/>
    <w:rsid w:val="004736C8"/>
    <w:rsid w:val="0047391D"/>
    <w:rsid w:val="00473C29"/>
    <w:rsid w:val="00473D25"/>
    <w:rsid w:val="00473FC2"/>
    <w:rsid w:val="0047453F"/>
    <w:rsid w:val="004746A3"/>
    <w:rsid w:val="00474E44"/>
    <w:rsid w:val="0047514E"/>
    <w:rsid w:val="00475211"/>
    <w:rsid w:val="004762AA"/>
    <w:rsid w:val="004765EE"/>
    <w:rsid w:val="00476676"/>
    <w:rsid w:val="004771AC"/>
    <w:rsid w:val="00477281"/>
    <w:rsid w:val="00477855"/>
    <w:rsid w:val="00480632"/>
    <w:rsid w:val="00480856"/>
    <w:rsid w:val="00481A0B"/>
    <w:rsid w:val="00481C88"/>
    <w:rsid w:val="00482166"/>
    <w:rsid w:val="004822D8"/>
    <w:rsid w:val="0048233A"/>
    <w:rsid w:val="00482E94"/>
    <w:rsid w:val="00482F66"/>
    <w:rsid w:val="0048361E"/>
    <w:rsid w:val="004842F8"/>
    <w:rsid w:val="00484394"/>
    <w:rsid w:val="0048533E"/>
    <w:rsid w:val="004855FA"/>
    <w:rsid w:val="004856C1"/>
    <w:rsid w:val="00485A34"/>
    <w:rsid w:val="0048694D"/>
    <w:rsid w:val="00486EBD"/>
    <w:rsid w:val="00486F03"/>
    <w:rsid w:val="0048738E"/>
    <w:rsid w:val="00487394"/>
    <w:rsid w:val="00487AFA"/>
    <w:rsid w:val="004902ED"/>
    <w:rsid w:val="004906B2"/>
    <w:rsid w:val="00490DF0"/>
    <w:rsid w:val="0049115C"/>
    <w:rsid w:val="0049178E"/>
    <w:rsid w:val="00491E20"/>
    <w:rsid w:val="00491F27"/>
    <w:rsid w:val="00492201"/>
    <w:rsid w:val="004923EB"/>
    <w:rsid w:val="00493B3F"/>
    <w:rsid w:val="0049457C"/>
    <w:rsid w:val="0049481A"/>
    <w:rsid w:val="0049511C"/>
    <w:rsid w:val="00495641"/>
    <w:rsid w:val="00495789"/>
    <w:rsid w:val="004957C9"/>
    <w:rsid w:val="0049727B"/>
    <w:rsid w:val="00497308"/>
    <w:rsid w:val="00497C16"/>
    <w:rsid w:val="004A00D4"/>
    <w:rsid w:val="004A08E0"/>
    <w:rsid w:val="004A0DF9"/>
    <w:rsid w:val="004A11E5"/>
    <w:rsid w:val="004A127C"/>
    <w:rsid w:val="004A1F55"/>
    <w:rsid w:val="004A21F2"/>
    <w:rsid w:val="004A2C72"/>
    <w:rsid w:val="004A2D67"/>
    <w:rsid w:val="004A3699"/>
    <w:rsid w:val="004A3948"/>
    <w:rsid w:val="004A3A4A"/>
    <w:rsid w:val="004A3AF2"/>
    <w:rsid w:val="004A3B6A"/>
    <w:rsid w:val="004A3FD2"/>
    <w:rsid w:val="004A4E6C"/>
    <w:rsid w:val="004A513C"/>
    <w:rsid w:val="004A56EB"/>
    <w:rsid w:val="004A5A78"/>
    <w:rsid w:val="004A5EB8"/>
    <w:rsid w:val="004A6163"/>
    <w:rsid w:val="004A640B"/>
    <w:rsid w:val="004A673B"/>
    <w:rsid w:val="004A7023"/>
    <w:rsid w:val="004A7C0B"/>
    <w:rsid w:val="004A7D97"/>
    <w:rsid w:val="004B0D9B"/>
    <w:rsid w:val="004B15A4"/>
    <w:rsid w:val="004B2378"/>
    <w:rsid w:val="004B2663"/>
    <w:rsid w:val="004B2A3B"/>
    <w:rsid w:val="004B30C7"/>
    <w:rsid w:val="004B3BF4"/>
    <w:rsid w:val="004B4B9C"/>
    <w:rsid w:val="004B4FCB"/>
    <w:rsid w:val="004B5766"/>
    <w:rsid w:val="004B6585"/>
    <w:rsid w:val="004B6766"/>
    <w:rsid w:val="004B69AC"/>
    <w:rsid w:val="004B70C5"/>
    <w:rsid w:val="004B730B"/>
    <w:rsid w:val="004B759D"/>
    <w:rsid w:val="004B76D3"/>
    <w:rsid w:val="004B7828"/>
    <w:rsid w:val="004C0596"/>
    <w:rsid w:val="004C1680"/>
    <w:rsid w:val="004C18C2"/>
    <w:rsid w:val="004C1E00"/>
    <w:rsid w:val="004C1F9C"/>
    <w:rsid w:val="004C2438"/>
    <w:rsid w:val="004C2462"/>
    <w:rsid w:val="004C27F2"/>
    <w:rsid w:val="004C2F09"/>
    <w:rsid w:val="004C3ADD"/>
    <w:rsid w:val="004C3D30"/>
    <w:rsid w:val="004C43FB"/>
    <w:rsid w:val="004C46F4"/>
    <w:rsid w:val="004C46F5"/>
    <w:rsid w:val="004C5774"/>
    <w:rsid w:val="004C5E9A"/>
    <w:rsid w:val="004C7071"/>
    <w:rsid w:val="004C7530"/>
    <w:rsid w:val="004C7672"/>
    <w:rsid w:val="004C7D31"/>
    <w:rsid w:val="004D0532"/>
    <w:rsid w:val="004D05AC"/>
    <w:rsid w:val="004D083A"/>
    <w:rsid w:val="004D0C07"/>
    <w:rsid w:val="004D14A9"/>
    <w:rsid w:val="004D1793"/>
    <w:rsid w:val="004D186E"/>
    <w:rsid w:val="004D30F6"/>
    <w:rsid w:val="004D35E8"/>
    <w:rsid w:val="004D3845"/>
    <w:rsid w:val="004D41B7"/>
    <w:rsid w:val="004D4671"/>
    <w:rsid w:val="004D46FB"/>
    <w:rsid w:val="004D4A44"/>
    <w:rsid w:val="004D51BC"/>
    <w:rsid w:val="004D52A4"/>
    <w:rsid w:val="004D52DF"/>
    <w:rsid w:val="004D532D"/>
    <w:rsid w:val="004D5375"/>
    <w:rsid w:val="004D59F3"/>
    <w:rsid w:val="004D5D3A"/>
    <w:rsid w:val="004D5ED3"/>
    <w:rsid w:val="004D6048"/>
    <w:rsid w:val="004D6213"/>
    <w:rsid w:val="004D6E9E"/>
    <w:rsid w:val="004D7DE7"/>
    <w:rsid w:val="004E026B"/>
    <w:rsid w:val="004E0815"/>
    <w:rsid w:val="004E0A4D"/>
    <w:rsid w:val="004E0C75"/>
    <w:rsid w:val="004E115C"/>
    <w:rsid w:val="004E1B3F"/>
    <w:rsid w:val="004E2269"/>
    <w:rsid w:val="004E2692"/>
    <w:rsid w:val="004E394D"/>
    <w:rsid w:val="004E518D"/>
    <w:rsid w:val="004E53D0"/>
    <w:rsid w:val="004E587E"/>
    <w:rsid w:val="004E5962"/>
    <w:rsid w:val="004E598A"/>
    <w:rsid w:val="004E5ED3"/>
    <w:rsid w:val="004E6341"/>
    <w:rsid w:val="004E693C"/>
    <w:rsid w:val="004E77BF"/>
    <w:rsid w:val="004E7C5F"/>
    <w:rsid w:val="004E7C64"/>
    <w:rsid w:val="004F0175"/>
    <w:rsid w:val="004F02D2"/>
    <w:rsid w:val="004F0495"/>
    <w:rsid w:val="004F0B22"/>
    <w:rsid w:val="004F0B61"/>
    <w:rsid w:val="004F1294"/>
    <w:rsid w:val="004F1641"/>
    <w:rsid w:val="004F17B3"/>
    <w:rsid w:val="004F2CD1"/>
    <w:rsid w:val="004F37E5"/>
    <w:rsid w:val="004F390A"/>
    <w:rsid w:val="004F3BAD"/>
    <w:rsid w:val="004F4058"/>
    <w:rsid w:val="004F40D6"/>
    <w:rsid w:val="004F4743"/>
    <w:rsid w:val="004F4CC0"/>
    <w:rsid w:val="004F5402"/>
    <w:rsid w:val="004F5E9F"/>
    <w:rsid w:val="004F5EAF"/>
    <w:rsid w:val="004F671B"/>
    <w:rsid w:val="004F6A68"/>
    <w:rsid w:val="004F7767"/>
    <w:rsid w:val="004F7812"/>
    <w:rsid w:val="005004B0"/>
    <w:rsid w:val="00500554"/>
    <w:rsid w:val="005005BA"/>
    <w:rsid w:val="00500AB5"/>
    <w:rsid w:val="00500C96"/>
    <w:rsid w:val="00500E2A"/>
    <w:rsid w:val="0050135C"/>
    <w:rsid w:val="00501AE7"/>
    <w:rsid w:val="00501B3A"/>
    <w:rsid w:val="00501BE9"/>
    <w:rsid w:val="00502BD6"/>
    <w:rsid w:val="00502E13"/>
    <w:rsid w:val="00502EBA"/>
    <w:rsid w:val="005030DE"/>
    <w:rsid w:val="005033F7"/>
    <w:rsid w:val="0050366D"/>
    <w:rsid w:val="00503EF2"/>
    <w:rsid w:val="00503FD5"/>
    <w:rsid w:val="00504C82"/>
    <w:rsid w:val="00504CC4"/>
    <w:rsid w:val="005055B4"/>
    <w:rsid w:val="00505B91"/>
    <w:rsid w:val="00505C34"/>
    <w:rsid w:val="00505F07"/>
    <w:rsid w:val="00505F36"/>
    <w:rsid w:val="00506209"/>
    <w:rsid w:val="00506333"/>
    <w:rsid w:val="005064CD"/>
    <w:rsid w:val="0050663B"/>
    <w:rsid w:val="00506D9B"/>
    <w:rsid w:val="00507143"/>
    <w:rsid w:val="00507641"/>
    <w:rsid w:val="00507665"/>
    <w:rsid w:val="00507681"/>
    <w:rsid w:val="00507760"/>
    <w:rsid w:val="00507A7F"/>
    <w:rsid w:val="00510043"/>
    <w:rsid w:val="005106A5"/>
    <w:rsid w:val="00511004"/>
    <w:rsid w:val="005110F8"/>
    <w:rsid w:val="00511382"/>
    <w:rsid w:val="0051139A"/>
    <w:rsid w:val="00511449"/>
    <w:rsid w:val="005127C4"/>
    <w:rsid w:val="0051297C"/>
    <w:rsid w:val="00512C94"/>
    <w:rsid w:val="00512CCF"/>
    <w:rsid w:val="0051362B"/>
    <w:rsid w:val="00513879"/>
    <w:rsid w:val="00513A9B"/>
    <w:rsid w:val="0051425B"/>
    <w:rsid w:val="00514AD4"/>
    <w:rsid w:val="00514C39"/>
    <w:rsid w:val="00514D03"/>
    <w:rsid w:val="00514E8D"/>
    <w:rsid w:val="0051540A"/>
    <w:rsid w:val="005158BB"/>
    <w:rsid w:val="0051592A"/>
    <w:rsid w:val="005160B8"/>
    <w:rsid w:val="00516D6F"/>
    <w:rsid w:val="00517639"/>
    <w:rsid w:val="005177E1"/>
    <w:rsid w:val="005179AB"/>
    <w:rsid w:val="00517E24"/>
    <w:rsid w:val="00520831"/>
    <w:rsid w:val="0052099A"/>
    <w:rsid w:val="00520E12"/>
    <w:rsid w:val="00521075"/>
    <w:rsid w:val="00521258"/>
    <w:rsid w:val="005214B5"/>
    <w:rsid w:val="00521611"/>
    <w:rsid w:val="00521B95"/>
    <w:rsid w:val="00521FA9"/>
    <w:rsid w:val="005220F2"/>
    <w:rsid w:val="005221C9"/>
    <w:rsid w:val="00522713"/>
    <w:rsid w:val="00523104"/>
    <w:rsid w:val="005237AF"/>
    <w:rsid w:val="005239C8"/>
    <w:rsid w:val="00523E5F"/>
    <w:rsid w:val="0052429E"/>
    <w:rsid w:val="00524DC1"/>
    <w:rsid w:val="00524DDE"/>
    <w:rsid w:val="00525462"/>
    <w:rsid w:val="005255FE"/>
    <w:rsid w:val="0052567F"/>
    <w:rsid w:val="00525D45"/>
    <w:rsid w:val="00525F91"/>
    <w:rsid w:val="00525FE7"/>
    <w:rsid w:val="0052649C"/>
    <w:rsid w:val="005265FB"/>
    <w:rsid w:val="00526628"/>
    <w:rsid w:val="00526789"/>
    <w:rsid w:val="00526A88"/>
    <w:rsid w:val="00526AC7"/>
    <w:rsid w:val="00527A8C"/>
    <w:rsid w:val="005300C9"/>
    <w:rsid w:val="00530184"/>
    <w:rsid w:val="0053043B"/>
    <w:rsid w:val="0053110A"/>
    <w:rsid w:val="00531135"/>
    <w:rsid w:val="00531259"/>
    <w:rsid w:val="0053142E"/>
    <w:rsid w:val="00531638"/>
    <w:rsid w:val="005323AE"/>
    <w:rsid w:val="00532944"/>
    <w:rsid w:val="00532A38"/>
    <w:rsid w:val="00532C08"/>
    <w:rsid w:val="00532CBA"/>
    <w:rsid w:val="00532F19"/>
    <w:rsid w:val="00532F43"/>
    <w:rsid w:val="005334EB"/>
    <w:rsid w:val="00533C08"/>
    <w:rsid w:val="00533F9E"/>
    <w:rsid w:val="00534268"/>
    <w:rsid w:val="005343F7"/>
    <w:rsid w:val="005348FF"/>
    <w:rsid w:val="00534AEE"/>
    <w:rsid w:val="00534B0A"/>
    <w:rsid w:val="00534F72"/>
    <w:rsid w:val="005353BC"/>
    <w:rsid w:val="00535A1C"/>
    <w:rsid w:val="00535D8D"/>
    <w:rsid w:val="0053602B"/>
    <w:rsid w:val="00536043"/>
    <w:rsid w:val="0053627C"/>
    <w:rsid w:val="005366F7"/>
    <w:rsid w:val="00536786"/>
    <w:rsid w:val="00536A99"/>
    <w:rsid w:val="00536B76"/>
    <w:rsid w:val="005374D9"/>
    <w:rsid w:val="005375BC"/>
    <w:rsid w:val="005376EE"/>
    <w:rsid w:val="00537799"/>
    <w:rsid w:val="00537C1E"/>
    <w:rsid w:val="0054017A"/>
    <w:rsid w:val="005404B4"/>
    <w:rsid w:val="005404F2"/>
    <w:rsid w:val="00541781"/>
    <w:rsid w:val="00541A2E"/>
    <w:rsid w:val="00541C1D"/>
    <w:rsid w:val="00541CC9"/>
    <w:rsid w:val="00541DE6"/>
    <w:rsid w:val="00542515"/>
    <w:rsid w:val="005425D5"/>
    <w:rsid w:val="00542AF5"/>
    <w:rsid w:val="0054300C"/>
    <w:rsid w:val="00543BF1"/>
    <w:rsid w:val="00543C5C"/>
    <w:rsid w:val="00543D0A"/>
    <w:rsid w:val="0054417F"/>
    <w:rsid w:val="005448BF"/>
    <w:rsid w:val="00544B0A"/>
    <w:rsid w:val="00544D52"/>
    <w:rsid w:val="00544F60"/>
    <w:rsid w:val="005452BE"/>
    <w:rsid w:val="005458C5"/>
    <w:rsid w:val="00545AD5"/>
    <w:rsid w:val="0054632B"/>
    <w:rsid w:val="005468C2"/>
    <w:rsid w:val="0054786D"/>
    <w:rsid w:val="00547B0F"/>
    <w:rsid w:val="00547B34"/>
    <w:rsid w:val="00547F7C"/>
    <w:rsid w:val="0055031F"/>
    <w:rsid w:val="005506CE"/>
    <w:rsid w:val="00550739"/>
    <w:rsid w:val="00550861"/>
    <w:rsid w:val="00550B80"/>
    <w:rsid w:val="00550C3B"/>
    <w:rsid w:val="00550CD0"/>
    <w:rsid w:val="00551034"/>
    <w:rsid w:val="0055109F"/>
    <w:rsid w:val="005513FD"/>
    <w:rsid w:val="00551B9A"/>
    <w:rsid w:val="00551D03"/>
    <w:rsid w:val="0055277E"/>
    <w:rsid w:val="00552DD0"/>
    <w:rsid w:val="00553204"/>
    <w:rsid w:val="00553F60"/>
    <w:rsid w:val="00554215"/>
    <w:rsid w:val="00554A50"/>
    <w:rsid w:val="00554C32"/>
    <w:rsid w:val="00554FE8"/>
    <w:rsid w:val="005552DC"/>
    <w:rsid w:val="005555CF"/>
    <w:rsid w:val="00555654"/>
    <w:rsid w:val="005556F2"/>
    <w:rsid w:val="00555A91"/>
    <w:rsid w:val="00556154"/>
    <w:rsid w:val="00556EC5"/>
    <w:rsid w:val="00557125"/>
    <w:rsid w:val="0055773A"/>
    <w:rsid w:val="00557B55"/>
    <w:rsid w:val="00557E84"/>
    <w:rsid w:val="00557EAD"/>
    <w:rsid w:val="005606A4"/>
    <w:rsid w:val="00560F14"/>
    <w:rsid w:val="005611E1"/>
    <w:rsid w:val="00561A92"/>
    <w:rsid w:val="00562890"/>
    <w:rsid w:val="00562A8F"/>
    <w:rsid w:val="005630D1"/>
    <w:rsid w:val="0056357C"/>
    <w:rsid w:val="005635BC"/>
    <w:rsid w:val="0056396D"/>
    <w:rsid w:val="00563BFE"/>
    <w:rsid w:val="00563C59"/>
    <w:rsid w:val="00563E4C"/>
    <w:rsid w:val="00564884"/>
    <w:rsid w:val="00564B18"/>
    <w:rsid w:val="00564CE8"/>
    <w:rsid w:val="00564E70"/>
    <w:rsid w:val="0056503E"/>
    <w:rsid w:val="0056516E"/>
    <w:rsid w:val="005654C9"/>
    <w:rsid w:val="00565657"/>
    <w:rsid w:val="005657F0"/>
    <w:rsid w:val="00566221"/>
    <w:rsid w:val="00566A24"/>
    <w:rsid w:val="00566A83"/>
    <w:rsid w:val="00566D0B"/>
    <w:rsid w:val="00567406"/>
    <w:rsid w:val="005674E0"/>
    <w:rsid w:val="005677A4"/>
    <w:rsid w:val="00567C9F"/>
    <w:rsid w:val="00567DDF"/>
    <w:rsid w:val="00567E3D"/>
    <w:rsid w:val="00570361"/>
    <w:rsid w:val="005707F2"/>
    <w:rsid w:val="00570BC5"/>
    <w:rsid w:val="00570E81"/>
    <w:rsid w:val="00571108"/>
    <w:rsid w:val="00571BB7"/>
    <w:rsid w:val="00571E39"/>
    <w:rsid w:val="00572406"/>
    <w:rsid w:val="005726C2"/>
    <w:rsid w:val="00572739"/>
    <w:rsid w:val="00572794"/>
    <w:rsid w:val="0057306A"/>
    <w:rsid w:val="005735AD"/>
    <w:rsid w:val="005735CC"/>
    <w:rsid w:val="00573AF8"/>
    <w:rsid w:val="0057425F"/>
    <w:rsid w:val="0057492D"/>
    <w:rsid w:val="005751F7"/>
    <w:rsid w:val="00575B27"/>
    <w:rsid w:val="00575C73"/>
    <w:rsid w:val="00576CC0"/>
    <w:rsid w:val="00576D15"/>
    <w:rsid w:val="00577B52"/>
    <w:rsid w:val="00577D58"/>
    <w:rsid w:val="0058026F"/>
    <w:rsid w:val="0058057A"/>
    <w:rsid w:val="00580650"/>
    <w:rsid w:val="00580689"/>
    <w:rsid w:val="00580E58"/>
    <w:rsid w:val="00580F3A"/>
    <w:rsid w:val="0058134C"/>
    <w:rsid w:val="005816D3"/>
    <w:rsid w:val="00581CDA"/>
    <w:rsid w:val="005821FA"/>
    <w:rsid w:val="00582984"/>
    <w:rsid w:val="00582A8B"/>
    <w:rsid w:val="00582BD7"/>
    <w:rsid w:val="00582CF2"/>
    <w:rsid w:val="00582E43"/>
    <w:rsid w:val="00582E51"/>
    <w:rsid w:val="005833D0"/>
    <w:rsid w:val="005834BB"/>
    <w:rsid w:val="00583681"/>
    <w:rsid w:val="005839BE"/>
    <w:rsid w:val="005843B0"/>
    <w:rsid w:val="00584B22"/>
    <w:rsid w:val="00584E6B"/>
    <w:rsid w:val="005850B5"/>
    <w:rsid w:val="005850E2"/>
    <w:rsid w:val="00585194"/>
    <w:rsid w:val="005851D9"/>
    <w:rsid w:val="005851F2"/>
    <w:rsid w:val="005854DD"/>
    <w:rsid w:val="0058637C"/>
    <w:rsid w:val="005866F9"/>
    <w:rsid w:val="00586839"/>
    <w:rsid w:val="00586C94"/>
    <w:rsid w:val="00586F65"/>
    <w:rsid w:val="00587262"/>
    <w:rsid w:val="00587392"/>
    <w:rsid w:val="00587CEE"/>
    <w:rsid w:val="00590275"/>
    <w:rsid w:val="00590398"/>
    <w:rsid w:val="0059063F"/>
    <w:rsid w:val="00590812"/>
    <w:rsid w:val="00590AA5"/>
    <w:rsid w:val="00590BCF"/>
    <w:rsid w:val="00590D03"/>
    <w:rsid w:val="00590D46"/>
    <w:rsid w:val="00591434"/>
    <w:rsid w:val="0059184F"/>
    <w:rsid w:val="00591899"/>
    <w:rsid w:val="005919C4"/>
    <w:rsid w:val="00591D62"/>
    <w:rsid w:val="00591F17"/>
    <w:rsid w:val="00592072"/>
    <w:rsid w:val="0059359F"/>
    <w:rsid w:val="005938D5"/>
    <w:rsid w:val="00593EB2"/>
    <w:rsid w:val="005940D4"/>
    <w:rsid w:val="0059447D"/>
    <w:rsid w:val="00595169"/>
    <w:rsid w:val="005955F4"/>
    <w:rsid w:val="00595899"/>
    <w:rsid w:val="00595E03"/>
    <w:rsid w:val="00595E9A"/>
    <w:rsid w:val="00596190"/>
    <w:rsid w:val="00596C34"/>
    <w:rsid w:val="00597CEE"/>
    <w:rsid w:val="005A01B1"/>
    <w:rsid w:val="005A02A2"/>
    <w:rsid w:val="005A02B4"/>
    <w:rsid w:val="005A08CC"/>
    <w:rsid w:val="005A16D8"/>
    <w:rsid w:val="005A1AFB"/>
    <w:rsid w:val="005A1B76"/>
    <w:rsid w:val="005A2B1B"/>
    <w:rsid w:val="005A2E42"/>
    <w:rsid w:val="005A2EAA"/>
    <w:rsid w:val="005A34DA"/>
    <w:rsid w:val="005A3661"/>
    <w:rsid w:val="005A3859"/>
    <w:rsid w:val="005A3D1F"/>
    <w:rsid w:val="005A4192"/>
    <w:rsid w:val="005A4258"/>
    <w:rsid w:val="005A4AED"/>
    <w:rsid w:val="005A4B51"/>
    <w:rsid w:val="005A5155"/>
    <w:rsid w:val="005A55DC"/>
    <w:rsid w:val="005A5F71"/>
    <w:rsid w:val="005A623C"/>
    <w:rsid w:val="005A64D6"/>
    <w:rsid w:val="005A66EC"/>
    <w:rsid w:val="005A6973"/>
    <w:rsid w:val="005A6EB8"/>
    <w:rsid w:val="005A7350"/>
    <w:rsid w:val="005A77B4"/>
    <w:rsid w:val="005A7BFA"/>
    <w:rsid w:val="005B0815"/>
    <w:rsid w:val="005B0CDB"/>
    <w:rsid w:val="005B0F0D"/>
    <w:rsid w:val="005B12AD"/>
    <w:rsid w:val="005B1422"/>
    <w:rsid w:val="005B1555"/>
    <w:rsid w:val="005B1701"/>
    <w:rsid w:val="005B182A"/>
    <w:rsid w:val="005B1880"/>
    <w:rsid w:val="005B1C97"/>
    <w:rsid w:val="005B1F42"/>
    <w:rsid w:val="005B2283"/>
    <w:rsid w:val="005B23E4"/>
    <w:rsid w:val="005B2492"/>
    <w:rsid w:val="005B2986"/>
    <w:rsid w:val="005B31F5"/>
    <w:rsid w:val="005B333C"/>
    <w:rsid w:val="005B3E98"/>
    <w:rsid w:val="005B43F4"/>
    <w:rsid w:val="005B4753"/>
    <w:rsid w:val="005B59D3"/>
    <w:rsid w:val="005B5DD5"/>
    <w:rsid w:val="005B6865"/>
    <w:rsid w:val="005B6CE7"/>
    <w:rsid w:val="005B729C"/>
    <w:rsid w:val="005B7409"/>
    <w:rsid w:val="005B7A21"/>
    <w:rsid w:val="005C01C6"/>
    <w:rsid w:val="005C0747"/>
    <w:rsid w:val="005C093C"/>
    <w:rsid w:val="005C1200"/>
    <w:rsid w:val="005C132B"/>
    <w:rsid w:val="005C143B"/>
    <w:rsid w:val="005C1884"/>
    <w:rsid w:val="005C204F"/>
    <w:rsid w:val="005C2C1E"/>
    <w:rsid w:val="005C2E89"/>
    <w:rsid w:val="005C319C"/>
    <w:rsid w:val="005C3223"/>
    <w:rsid w:val="005C3924"/>
    <w:rsid w:val="005C41DE"/>
    <w:rsid w:val="005C45F4"/>
    <w:rsid w:val="005C4600"/>
    <w:rsid w:val="005C499A"/>
    <w:rsid w:val="005C4A90"/>
    <w:rsid w:val="005C4CC7"/>
    <w:rsid w:val="005C514C"/>
    <w:rsid w:val="005C5455"/>
    <w:rsid w:val="005C5858"/>
    <w:rsid w:val="005C59D3"/>
    <w:rsid w:val="005C59D4"/>
    <w:rsid w:val="005C618F"/>
    <w:rsid w:val="005C7F1B"/>
    <w:rsid w:val="005D011F"/>
    <w:rsid w:val="005D0521"/>
    <w:rsid w:val="005D1096"/>
    <w:rsid w:val="005D1BB3"/>
    <w:rsid w:val="005D1FA0"/>
    <w:rsid w:val="005D2515"/>
    <w:rsid w:val="005D2A51"/>
    <w:rsid w:val="005D2AD5"/>
    <w:rsid w:val="005D32D0"/>
    <w:rsid w:val="005D3CEA"/>
    <w:rsid w:val="005D3E89"/>
    <w:rsid w:val="005D4396"/>
    <w:rsid w:val="005D46E9"/>
    <w:rsid w:val="005D486D"/>
    <w:rsid w:val="005D4BEA"/>
    <w:rsid w:val="005D4E8C"/>
    <w:rsid w:val="005D4F35"/>
    <w:rsid w:val="005D50A5"/>
    <w:rsid w:val="005D532F"/>
    <w:rsid w:val="005D5A08"/>
    <w:rsid w:val="005D5F49"/>
    <w:rsid w:val="005D5F6A"/>
    <w:rsid w:val="005D6C80"/>
    <w:rsid w:val="005D7010"/>
    <w:rsid w:val="005D7210"/>
    <w:rsid w:val="005D77D5"/>
    <w:rsid w:val="005D7998"/>
    <w:rsid w:val="005D7BCD"/>
    <w:rsid w:val="005E07AB"/>
    <w:rsid w:val="005E0970"/>
    <w:rsid w:val="005E0F0C"/>
    <w:rsid w:val="005E10DE"/>
    <w:rsid w:val="005E114C"/>
    <w:rsid w:val="005E1A26"/>
    <w:rsid w:val="005E1AE0"/>
    <w:rsid w:val="005E1D23"/>
    <w:rsid w:val="005E21EC"/>
    <w:rsid w:val="005E24C1"/>
    <w:rsid w:val="005E278B"/>
    <w:rsid w:val="005E2D60"/>
    <w:rsid w:val="005E2EBE"/>
    <w:rsid w:val="005E3613"/>
    <w:rsid w:val="005E37CB"/>
    <w:rsid w:val="005E3CE0"/>
    <w:rsid w:val="005E426B"/>
    <w:rsid w:val="005E42C7"/>
    <w:rsid w:val="005E45D7"/>
    <w:rsid w:val="005E477D"/>
    <w:rsid w:val="005E4BB0"/>
    <w:rsid w:val="005E53B2"/>
    <w:rsid w:val="005E57FA"/>
    <w:rsid w:val="005E611E"/>
    <w:rsid w:val="005E6232"/>
    <w:rsid w:val="005E62CC"/>
    <w:rsid w:val="005E64F1"/>
    <w:rsid w:val="005E6811"/>
    <w:rsid w:val="005E6CBE"/>
    <w:rsid w:val="005E6EC8"/>
    <w:rsid w:val="005E72E8"/>
    <w:rsid w:val="005E76CF"/>
    <w:rsid w:val="005E7A10"/>
    <w:rsid w:val="005E7F77"/>
    <w:rsid w:val="005F0E94"/>
    <w:rsid w:val="005F1092"/>
    <w:rsid w:val="005F112C"/>
    <w:rsid w:val="005F19CA"/>
    <w:rsid w:val="005F1E45"/>
    <w:rsid w:val="005F26F8"/>
    <w:rsid w:val="005F3000"/>
    <w:rsid w:val="005F34B3"/>
    <w:rsid w:val="005F383E"/>
    <w:rsid w:val="005F41AD"/>
    <w:rsid w:val="005F4D1A"/>
    <w:rsid w:val="005F5AD9"/>
    <w:rsid w:val="005F7931"/>
    <w:rsid w:val="005F7F4C"/>
    <w:rsid w:val="0060045B"/>
    <w:rsid w:val="00600606"/>
    <w:rsid w:val="00600A89"/>
    <w:rsid w:val="00600E03"/>
    <w:rsid w:val="00601134"/>
    <w:rsid w:val="0060145B"/>
    <w:rsid w:val="00601B90"/>
    <w:rsid w:val="00602023"/>
    <w:rsid w:val="0060282B"/>
    <w:rsid w:val="0060284B"/>
    <w:rsid w:val="00602D33"/>
    <w:rsid w:val="00602DA2"/>
    <w:rsid w:val="00602F3A"/>
    <w:rsid w:val="006031DE"/>
    <w:rsid w:val="0060353D"/>
    <w:rsid w:val="00603734"/>
    <w:rsid w:val="006037C9"/>
    <w:rsid w:val="00603C72"/>
    <w:rsid w:val="00603DCA"/>
    <w:rsid w:val="00604207"/>
    <w:rsid w:val="0060467D"/>
    <w:rsid w:val="006046ED"/>
    <w:rsid w:val="006048DC"/>
    <w:rsid w:val="006049DC"/>
    <w:rsid w:val="00604F11"/>
    <w:rsid w:val="00605125"/>
    <w:rsid w:val="006051B9"/>
    <w:rsid w:val="00605726"/>
    <w:rsid w:val="006058C3"/>
    <w:rsid w:val="00606275"/>
    <w:rsid w:val="00606AF3"/>
    <w:rsid w:val="00606C6B"/>
    <w:rsid w:val="00606F36"/>
    <w:rsid w:val="00607468"/>
    <w:rsid w:val="00607686"/>
    <w:rsid w:val="00607D8D"/>
    <w:rsid w:val="006102A6"/>
    <w:rsid w:val="00610A4B"/>
    <w:rsid w:val="006116C0"/>
    <w:rsid w:val="00611C35"/>
    <w:rsid w:val="00611C4C"/>
    <w:rsid w:val="006127EB"/>
    <w:rsid w:val="00613DDA"/>
    <w:rsid w:val="00613E45"/>
    <w:rsid w:val="00614735"/>
    <w:rsid w:val="00614EB5"/>
    <w:rsid w:val="006153CF"/>
    <w:rsid w:val="006155BE"/>
    <w:rsid w:val="0061566E"/>
    <w:rsid w:val="0061618F"/>
    <w:rsid w:val="006161F3"/>
    <w:rsid w:val="006165EF"/>
    <w:rsid w:val="006170BE"/>
    <w:rsid w:val="006175E3"/>
    <w:rsid w:val="006201B5"/>
    <w:rsid w:val="00620367"/>
    <w:rsid w:val="00620CD1"/>
    <w:rsid w:val="00620E72"/>
    <w:rsid w:val="00620F78"/>
    <w:rsid w:val="00621473"/>
    <w:rsid w:val="00621946"/>
    <w:rsid w:val="00621975"/>
    <w:rsid w:val="0062251E"/>
    <w:rsid w:val="006232DA"/>
    <w:rsid w:val="00623427"/>
    <w:rsid w:val="00623627"/>
    <w:rsid w:val="00623970"/>
    <w:rsid w:val="00623D9B"/>
    <w:rsid w:val="0062413B"/>
    <w:rsid w:val="006241C3"/>
    <w:rsid w:val="00624912"/>
    <w:rsid w:val="0062539C"/>
    <w:rsid w:val="00625983"/>
    <w:rsid w:val="0062645B"/>
    <w:rsid w:val="00626999"/>
    <w:rsid w:val="00626B16"/>
    <w:rsid w:val="00626D36"/>
    <w:rsid w:val="00626EFB"/>
    <w:rsid w:val="006275D0"/>
    <w:rsid w:val="00627603"/>
    <w:rsid w:val="0062763C"/>
    <w:rsid w:val="00627773"/>
    <w:rsid w:val="006277EB"/>
    <w:rsid w:val="00627F83"/>
    <w:rsid w:val="00627FF6"/>
    <w:rsid w:val="00630891"/>
    <w:rsid w:val="00630B6C"/>
    <w:rsid w:val="006320F3"/>
    <w:rsid w:val="00632482"/>
    <w:rsid w:val="006325EB"/>
    <w:rsid w:val="0063334B"/>
    <w:rsid w:val="00633B38"/>
    <w:rsid w:val="00634406"/>
    <w:rsid w:val="006344FD"/>
    <w:rsid w:val="00634606"/>
    <w:rsid w:val="00634649"/>
    <w:rsid w:val="006349EA"/>
    <w:rsid w:val="00635424"/>
    <w:rsid w:val="00635D3F"/>
    <w:rsid w:val="00635D60"/>
    <w:rsid w:val="00636048"/>
    <w:rsid w:val="0063660A"/>
    <w:rsid w:val="006369A7"/>
    <w:rsid w:val="00637007"/>
    <w:rsid w:val="00637403"/>
    <w:rsid w:val="00637597"/>
    <w:rsid w:val="006375A7"/>
    <w:rsid w:val="00637E33"/>
    <w:rsid w:val="006400B4"/>
    <w:rsid w:val="00640141"/>
    <w:rsid w:val="00641021"/>
    <w:rsid w:val="006412E0"/>
    <w:rsid w:val="0064199A"/>
    <w:rsid w:val="00641C61"/>
    <w:rsid w:val="00641EAB"/>
    <w:rsid w:val="006421E0"/>
    <w:rsid w:val="006428B1"/>
    <w:rsid w:val="00642F81"/>
    <w:rsid w:val="00643092"/>
    <w:rsid w:val="00643222"/>
    <w:rsid w:val="0064376D"/>
    <w:rsid w:val="00644206"/>
    <w:rsid w:val="0064504B"/>
    <w:rsid w:val="006457C4"/>
    <w:rsid w:val="006457FA"/>
    <w:rsid w:val="006458F2"/>
    <w:rsid w:val="00645CBC"/>
    <w:rsid w:val="00645E44"/>
    <w:rsid w:val="00645FB4"/>
    <w:rsid w:val="00646AAC"/>
    <w:rsid w:val="00646B38"/>
    <w:rsid w:val="00646BE1"/>
    <w:rsid w:val="00646D37"/>
    <w:rsid w:val="00646F1B"/>
    <w:rsid w:val="00647440"/>
    <w:rsid w:val="00647559"/>
    <w:rsid w:val="00647B7C"/>
    <w:rsid w:val="00647DE0"/>
    <w:rsid w:val="00650178"/>
    <w:rsid w:val="0065148F"/>
    <w:rsid w:val="00651AC7"/>
    <w:rsid w:val="00652A72"/>
    <w:rsid w:val="00652EA3"/>
    <w:rsid w:val="006530C0"/>
    <w:rsid w:val="0065365F"/>
    <w:rsid w:val="00653A45"/>
    <w:rsid w:val="00654425"/>
    <w:rsid w:val="0065451E"/>
    <w:rsid w:val="00655290"/>
    <w:rsid w:val="00655475"/>
    <w:rsid w:val="006557E4"/>
    <w:rsid w:val="006559C6"/>
    <w:rsid w:val="00655B45"/>
    <w:rsid w:val="00655CAE"/>
    <w:rsid w:val="00655D3B"/>
    <w:rsid w:val="0065637E"/>
    <w:rsid w:val="006568EB"/>
    <w:rsid w:val="00656F4B"/>
    <w:rsid w:val="006576D4"/>
    <w:rsid w:val="0066000E"/>
    <w:rsid w:val="0066015C"/>
    <w:rsid w:val="006601F1"/>
    <w:rsid w:val="0066026C"/>
    <w:rsid w:val="0066105C"/>
    <w:rsid w:val="006615AE"/>
    <w:rsid w:val="0066168A"/>
    <w:rsid w:val="006618A4"/>
    <w:rsid w:val="00661CEF"/>
    <w:rsid w:val="00661E7F"/>
    <w:rsid w:val="00661F11"/>
    <w:rsid w:val="00662362"/>
    <w:rsid w:val="00662994"/>
    <w:rsid w:val="00663C30"/>
    <w:rsid w:val="00663C37"/>
    <w:rsid w:val="00663E69"/>
    <w:rsid w:val="006640F4"/>
    <w:rsid w:val="00664A88"/>
    <w:rsid w:val="00664B02"/>
    <w:rsid w:val="00664E72"/>
    <w:rsid w:val="006654E0"/>
    <w:rsid w:val="00665BCA"/>
    <w:rsid w:val="006666BA"/>
    <w:rsid w:val="00666818"/>
    <w:rsid w:val="006668AF"/>
    <w:rsid w:val="00666B80"/>
    <w:rsid w:val="00667297"/>
    <w:rsid w:val="00667340"/>
    <w:rsid w:val="0066737A"/>
    <w:rsid w:val="006674F9"/>
    <w:rsid w:val="006677DC"/>
    <w:rsid w:val="00667ABB"/>
    <w:rsid w:val="00667DE2"/>
    <w:rsid w:val="00667E66"/>
    <w:rsid w:val="00671350"/>
    <w:rsid w:val="0067148C"/>
    <w:rsid w:val="00671909"/>
    <w:rsid w:val="00671C0D"/>
    <w:rsid w:val="00671F3C"/>
    <w:rsid w:val="006721AE"/>
    <w:rsid w:val="00672235"/>
    <w:rsid w:val="0067235C"/>
    <w:rsid w:val="00672985"/>
    <w:rsid w:val="00672B51"/>
    <w:rsid w:val="006730E1"/>
    <w:rsid w:val="006735B6"/>
    <w:rsid w:val="00673638"/>
    <w:rsid w:val="00673652"/>
    <w:rsid w:val="006738D0"/>
    <w:rsid w:val="006741C8"/>
    <w:rsid w:val="006746BE"/>
    <w:rsid w:val="0067491A"/>
    <w:rsid w:val="00674C03"/>
    <w:rsid w:val="00674DD9"/>
    <w:rsid w:val="0067524A"/>
    <w:rsid w:val="00675546"/>
    <w:rsid w:val="0067579B"/>
    <w:rsid w:val="0067678C"/>
    <w:rsid w:val="006768D5"/>
    <w:rsid w:val="00676C11"/>
    <w:rsid w:val="00676DB4"/>
    <w:rsid w:val="00676F56"/>
    <w:rsid w:val="0067712F"/>
    <w:rsid w:val="0067725E"/>
    <w:rsid w:val="0067749F"/>
    <w:rsid w:val="00677541"/>
    <w:rsid w:val="006779F0"/>
    <w:rsid w:val="00677CF5"/>
    <w:rsid w:val="00677F97"/>
    <w:rsid w:val="0068019B"/>
    <w:rsid w:val="00680466"/>
    <w:rsid w:val="006806E0"/>
    <w:rsid w:val="00680AA1"/>
    <w:rsid w:val="0068147A"/>
    <w:rsid w:val="00681B97"/>
    <w:rsid w:val="00681CD9"/>
    <w:rsid w:val="00681E76"/>
    <w:rsid w:val="00681F4E"/>
    <w:rsid w:val="00681FAB"/>
    <w:rsid w:val="00682022"/>
    <w:rsid w:val="00682090"/>
    <w:rsid w:val="00682453"/>
    <w:rsid w:val="0068295C"/>
    <w:rsid w:val="00683236"/>
    <w:rsid w:val="006834A8"/>
    <w:rsid w:val="0068352B"/>
    <w:rsid w:val="0068355C"/>
    <w:rsid w:val="00683983"/>
    <w:rsid w:val="00683A4E"/>
    <w:rsid w:val="00683C31"/>
    <w:rsid w:val="00684510"/>
    <w:rsid w:val="00684CB4"/>
    <w:rsid w:val="006850CA"/>
    <w:rsid w:val="0068624F"/>
    <w:rsid w:val="00686723"/>
    <w:rsid w:val="00686ED3"/>
    <w:rsid w:val="0068711E"/>
    <w:rsid w:val="00687250"/>
    <w:rsid w:val="006872DC"/>
    <w:rsid w:val="00690CDE"/>
    <w:rsid w:val="006917F4"/>
    <w:rsid w:val="0069194E"/>
    <w:rsid w:val="00691AFD"/>
    <w:rsid w:val="00692676"/>
    <w:rsid w:val="00692932"/>
    <w:rsid w:val="00692A7C"/>
    <w:rsid w:val="00692BBF"/>
    <w:rsid w:val="0069333A"/>
    <w:rsid w:val="00693697"/>
    <w:rsid w:val="00693B1C"/>
    <w:rsid w:val="00693B7A"/>
    <w:rsid w:val="00693BBA"/>
    <w:rsid w:val="00694214"/>
    <w:rsid w:val="006945A0"/>
    <w:rsid w:val="0069478E"/>
    <w:rsid w:val="0069569C"/>
    <w:rsid w:val="00695A38"/>
    <w:rsid w:val="00695B84"/>
    <w:rsid w:val="006963C2"/>
    <w:rsid w:val="00696616"/>
    <w:rsid w:val="0069672D"/>
    <w:rsid w:val="00696E3C"/>
    <w:rsid w:val="00697400"/>
    <w:rsid w:val="006976E0"/>
    <w:rsid w:val="00697853"/>
    <w:rsid w:val="0069798E"/>
    <w:rsid w:val="00697B31"/>
    <w:rsid w:val="00697F38"/>
    <w:rsid w:val="006A0325"/>
    <w:rsid w:val="006A0398"/>
    <w:rsid w:val="006A0B5D"/>
    <w:rsid w:val="006A0F6E"/>
    <w:rsid w:val="006A12CB"/>
    <w:rsid w:val="006A13D4"/>
    <w:rsid w:val="006A1AB4"/>
    <w:rsid w:val="006A216B"/>
    <w:rsid w:val="006A26FD"/>
    <w:rsid w:val="006A2778"/>
    <w:rsid w:val="006A27EE"/>
    <w:rsid w:val="006A2881"/>
    <w:rsid w:val="006A2957"/>
    <w:rsid w:val="006A2ADF"/>
    <w:rsid w:val="006A2DA6"/>
    <w:rsid w:val="006A2E50"/>
    <w:rsid w:val="006A2EEF"/>
    <w:rsid w:val="006A35E5"/>
    <w:rsid w:val="006A3DDA"/>
    <w:rsid w:val="006A40B4"/>
    <w:rsid w:val="006A47B5"/>
    <w:rsid w:val="006A5086"/>
    <w:rsid w:val="006A537B"/>
    <w:rsid w:val="006A5982"/>
    <w:rsid w:val="006A64AF"/>
    <w:rsid w:val="006A6923"/>
    <w:rsid w:val="006A7170"/>
    <w:rsid w:val="006A7917"/>
    <w:rsid w:val="006A7A81"/>
    <w:rsid w:val="006B033F"/>
    <w:rsid w:val="006B047D"/>
    <w:rsid w:val="006B0968"/>
    <w:rsid w:val="006B112F"/>
    <w:rsid w:val="006B120C"/>
    <w:rsid w:val="006B17C1"/>
    <w:rsid w:val="006B1E0E"/>
    <w:rsid w:val="006B2903"/>
    <w:rsid w:val="006B30F5"/>
    <w:rsid w:val="006B3A12"/>
    <w:rsid w:val="006B3C97"/>
    <w:rsid w:val="006B3EAD"/>
    <w:rsid w:val="006B3F2F"/>
    <w:rsid w:val="006B426D"/>
    <w:rsid w:val="006B4528"/>
    <w:rsid w:val="006B4765"/>
    <w:rsid w:val="006B4D24"/>
    <w:rsid w:val="006B5362"/>
    <w:rsid w:val="006B554B"/>
    <w:rsid w:val="006B5F3E"/>
    <w:rsid w:val="006B6045"/>
    <w:rsid w:val="006B6A6C"/>
    <w:rsid w:val="006B6CB4"/>
    <w:rsid w:val="006B6EE3"/>
    <w:rsid w:val="006B7476"/>
    <w:rsid w:val="006B7559"/>
    <w:rsid w:val="006C02F1"/>
    <w:rsid w:val="006C030F"/>
    <w:rsid w:val="006C0313"/>
    <w:rsid w:val="006C0823"/>
    <w:rsid w:val="006C0AE3"/>
    <w:rsid w:val="006C0FFC"/>
    <w:rsid w:val="006C11B0"/>
    <w:rsid w:val="006C1AA8"/>
    <w:rsid w:val="006C2121"/>
    <w:rsid w:val="006C361D"/>
    <w:rsid w:val="006C36E6"/>
    <w:rsid w:val="006C39AD"/>
    <w:rsid w:val="006C3A32"/>
    <w:rsid w:val="006C3D82"/>
    <w:rsid w:val="006C476C"/>
    <w:rsid w:val="006C47F2"/>
    <w:rsid w:val="006C4A31"/>
    <w:rsid w:val="006C4CAE"/>
    <w:rsid w:val="006C5549"/>
    <w:rsid w:val="006C5831"/>
    <w:rsid w:val="006C587D"/>
    <w:rsid w:val="006C59C6"/>
    <w:rsid w:val="006C60CF"/>
    <w:rsid w:val="006C628B"/>
    <w:rsid w:val="006C6356"/>
    <w:rsid w:val="006C694C"/>
    <w:rsid w:val="006C6A07"/>
    <w:rsid w:val="006C6F63"/>
    <w:rsid w:val="006C77C4"/>
    <w:rsid w:val="006C77F6"/>
    <w:rsid w:val="006C7BBF"/>
    <w:rsid w:val="006C7D1F"/>
    <w:rsid w:val="006C7FD1"/>
    <w:rsid w:val="006D05E9"/>
    <w:rsid w:val="006D0961"/>
    <w:rsid w:val="006D0C45"/>
    <w:rsid w:val="006D0E85"/>
    <w:rsid w:val="006D1020"/>
    <w:rsid w:val="006D1069"/>
    <w:rsid w:val="006D1F64"/>
    <w:rsid w:val="006D1F7F"/>
    <w:rsid w:val="006D221F"/>
    <w:rsid w:val="006D25D5"/>
    <w:rsid w:val="006D2CC5"/>
    <w:rsid w:val="006D2F1F"/>
    <w:rsid w:val="006D30DF"/>
    <w:rsid w:val="006D346B"/>
    <w:rsid w:val="006D41B5"/>
    <w:rsid w:val="006D43ED"/>
    <w:rsid w:val="006D4738"/>
    <w:rsid w:val="006D487D"/>
    <w:rsid w:val="006D4C6B"/>
    <w:rsid w:val="006D5016"/>
    <w:rsid w:val="006D51BA"/>
    <w:rsid w:val="006D5715"/>
    <w:rsid w:val="006D5E3B"/>
    <w:rsid w:val="006D6740"/>
    <w:rsid w:val="006D6FDF"/>
    <w:rsid w:val="006D703A"/>
    <w:rsid w:val="006D7675"/>
    <w:rsid w:val="006D77A5"/>
    <w:rsid w:val="006D7A51"/>
    <w:rsid w:val="006D7F83"/>
    <w:rsid w:val="006E0251"/>
    <w:rsid w:val="006E0F15"/>
    <w:rsid w:val="006E107E"/>
    <w:rsid w:val="006E1206"/>
    <w:rsid w:val="006E1285"/>
    <w:rsid w:val="006E131A"/>
    <w:rsid w:val="006E1D94"/>
    <w:rsid w:val="006E1E6C"/>
    <w:rsid w:val="006E2087"/>
    <w:rsid w:val="006E21E2"/>
    <w:rsid w:val="006E21E3"/>
    <w:rsid w:val="006E26B0"/>
    <w:rsid w:val="006E2C1A"/>
    <w:rsid w:val="006E2C3B"/>
    <w:rsid w:val="006E3570"/>
    <w:rsid w:val="006E37D2"/>
    <w:rsid w:val="006E39BC"/>
    <w:rsid w:val="006E39E7"/>
    <w:rsid w:val="006E3A89"/>
    <w:rsid w:val="006E3B35"/>
    <w:rsid w:val="006E3BB5"/>
    <w:rsid w:val="006E3D86"/>
    <w:rsid w:val="006E54EC"/>
    <w:rsid w:val="006E5D50"/>
    <w:rsid w:val="006E5DB5"/>
    <w:rsid w:val="006E63CB"/>
    <w:rsid w:val="006E6405"/>
    <w:rsid w:val="006E698C"/>
    <w:rsid w:val="006E74B2"/>
    <w:rsid w:val="006E78F7"/>
    <w:rsid w:val="006E7D03"/>
    <w:rsid w:val="006E7F48"/>
    <w:rsid w:val="006F06DB"/>
    <w:rsid w:val="006F0964"/>
    <w:rsid w:val="006F0CFC"/>
    <w:rsid w:val="006F19F4"/>
    <w:rsid w:val="006F1B76"/>
    <w:rsid w:val="006F1E70"/>
    <w:rsid w:val="006F27B0"/>
    <w:rsid w:val="006F2898"/>
    <w:rsid w:val="006F3457"/>
    <w:rsid w:val="006F38E9"/>
    <w:rsid w:val="006F3EE8"/>
    <w:rsid w:val="006F3F24"/>
    <w:rsid w:val="006F4BF4"/>
    <w:rsid w:val="006F4C2E"/>
    <w:rsid w:val="006F4E50"/>
    <w:rsid w:val="006F513C"/>
    <w:rsid w:val="006F513D"/>
    <w:rsid w:val="006F5665"/>
    <w:rsid w:val="006F5864"/>
    <w:rsid w:val="006F5866"/>
    <w:rsid w:val="006F64DB"/>
    <w:rsid w:val="006F65D4"/>
    <w:rsid w:val="006F70BE"/>
    <w:rsid w:val="006F70EA"/>
    <w:rsid w:val="006F7192"/>
    <w:rsid w:val="006F73E9"/>
    <w:rsid w:val="006F7A8E"/>
    <w:rsid w:val="006F7BC4"/>
    <w:rsid w:val="00700034"/>
    <w:rsid w:val="0070014F"/>
    <w:rsid w:val="00700221"/>
    <w:rsid w:val="0070092A"/>
    <w:rsid w:val="007009E7"/>
    <w:rsid w:val="00700A4F"/>
    <w:rsid w:val="0070103A"/>
    <w:rsid w:val="0070127C"/>
    <w:rsid w:val="0070156A"/>
    <w:rsid w:val="00701639"/>
    <w:rsid w:val="00701C8D"/>
    <w:rsid w:val="0070351C"/>
    <w:rsid w:val="0070397F"/>
    <w:rsid w:val="00703F0D"/>
    <w:rsid w:val="0070402C"/>
    <w:rsid w:val="00704466"/>
    <w:rsid w:val="00704620"/>
    <w:rsid w:val="00704A95"/>
    <w:rsid w:val="00705284"/>
    <w:rsid w:val="007052E1"/>
    <w:rsid w:val="00705BD0"/>
    <w:rsid w:val="00705FC9"/>
    <w:rsid w:val="007064A5"/>
    <w:rsid w:val="007068E9"/>
    <w:rsid w:val="007069CD"/>
    <w:rsid w:val="00706BD4"/>
    <w:rsid w:val="00706DEB"/>
    <w:rsid w:val="007070A6"/>
    <w:rsid w:val="00707C70"/>
    <w:rsid w:val="00710696"/>
    <w:rsid w:val="00710994"/>
    <w:rsid w:val="00710BF0"/>
    <w:rsid w:val="00710C4B"/>
    <w:rsid w:val="00711DDD"/>
    <w:rsid w:val="0071201E"/>
    <w:rsid w:val="00712D14"/>
    <w:rsid w:val="00713143"/>
    <w:rsid w:val="0071353F"/>
    <w:rsid w:val="00713907"/>
    <w:rsid w:val="00713F9B"/>
    <w:rsid w:val="00714455"/>
    <w:rsid w:val="007146F3"/>
    <w:rsid w:val="007149B9"/>
    <w:rsid w:val="00714EDF"/>
    <w:rsid w:val="00714EE5"/>
    <w:rsid w:val="0071583C"/>
    <w:rsid w:val="00715E42"/>
    <w:rsid w:val="00716045"/>
    <w:rsid w:val="00717170"/>
    <w:rsid w:val="007175FD"/>
    <w:rsid w:val="00717D95"/>
    <w:rsid w:val="00717E38"/>
    <w:rsid w:val="00720402"/>
    <w:rsid w:val="0072049B"/>
    <w:rsid w:val="007207A8"/>
    <w:rsid w:val="00721678"/>
    <w:rsid w:val="00721B64"/>
    <w:rsid w:val="00721F80"/>
    <w:rsid w:val="00721FCF"/>
    <w:rsid w:val="0072215A"/>
    <w:rsid w:val="0072357E"/>
    <w:rsid w:val="00723DD8"/>
    <w:rsid w:val="007248AC"/>
    <w:rsid w:val="00724AE3"/>
    <w:rsid w:val="007250AA"/>
    <w:rsid w:val="0072575B"/>
    <w:rsid w:val="00725BBE"/>
    <w:rsid w:val="007261E5"/>
    <w:rsid w:val="007262A6"/>
    <w:rsid w:val="00726472"/>
    <w:rsid w:val="00726982"/>
    <w:rsid w:val="0072731A"/>
    <w:rsid w:val="007278C1"/>
    <w:rsid w:val="007278CD"/>
    <w:rsid w:val="00727A79"/>
    <w:rsid w:val="00727C1D"/>
    <w:rsid w:val="00727E20"/>
    <w:rsid w:val="00727ED4"/>
    <w:rsid w:val="0073036D"/>
    <w:rsid w:val="0073099B"/>
    <w:rsid w:val="00731953"/>
    <w:rsid w:val="00731A6E"/>
    <w:rsid w:val="00733B98"/>
    <w:rsid w:val="00734373"/>
    <w:rsid w:val="0073496D"/>
    <w:rsid w:val="00736217"/>
    <w:rsid w:val="0073628D"/>
    <w:rsid w:val="00736549"/>
    <w:rsid w:val="00736802"/>
    <w:rsid w:val="007368F7"/>
    <w:rsid w:val="007369A5"/>
    <w:rsid w:val="00736B58"/>
    <w:rsid w:val="00737085"/>
    <w:rsid w:val="007377DD"/>
    <w:rsid w:val="00737D46"/>
    <w:rsid w:val="00740683"/>
    <w:rsid w:val="007410AB"/>
    <w:rsid w:val="00741184"/>
    <w:rsid w:val="007411B1"/>
    <w:rsid w:val="00742113"/>
    <w:rsid w:val="00742158"/>
    <w:rsid w:val="007423B6"/>
    <w:rsid w:val="00742470"/>
    <w:rsid w:val="00742483"/>
    <w:rsid w:val="0074252C"/>
    <w:rsid w:val="00742B06"/>
    <w:rsid w:val="00742B63"/>
    <w:rsid w:val="007434FC"/>
    <w:rsid w:val="00743FB0"/>
    <w:rsid w:val="0074435B"/>
    <w:rsid w:val="00744417"/>
    <w:rsid w:val="007446D1"/>
    <w:rsid w:val="0074484A"/>
    <w:rsid w:val="0074596A"/>
    <w:rsid w:val="00745E46"/>
    <w:rsid w:val="007460C6"/>
    <w:rsid w:val="00746425"/>
    <w:rsid w:val="007466A8"/>
    <w:rsid w:val="00746957"/>
    <w:rsid w:val="007471AF"/>
    <w:rsid w:val="0074720C"/>
    <w:rsid w:val="0074758C"/>
    <w:rsid w:val="007477C0"/>
    <w:rsid w:val="00747BC7"/>
    <w:rsid w:val="007502C8"/>
    <w:rsid w:val="00750437"/>
    <w:rsid w:val="00750739"/>
    <w:rsid w:val="00750A76"/>
    <w:rsid w:val="00750FB2"/>
    <w:rsid w:val="007510A3"/>
    <w:rsid w:val="00751446"/>
    <w:rsid w:val="00751866"/>
    <w:rsid w:val="00751BA0"/>
    <w:rsid w:val="00752601"/>
    <w:rsid w:val="00752988"/>
    <w:rsid w:val="00752CB7"/>
    <w:rsid w:val="00752EB8"/>
    <w:rsid w:val="00753794"/>
    <w:rsid w:val="00753A2C"/>
    <w:rsid w:val="00754578"/>
    <w:rsid w:val="00754AFD"/>
    <w:rsid w:val="00754BFA"/>
    <w:rsid w:val="00754D2D"/>
    <w:rsid w:val="00754DA8"/>
    <w:rsid w:val="007554D9"/>
    <w:rsid w:val="0075637B"/>
    <w:rsid w:val="00757BA3"/>
    <w:rsid w:val="00757DCE"/>
    <w:rsid w:val="00760E28"/>
    <w:rsid w:val="00760F27"/>
    <w:rsid w:val="00760FD6"/>
    <w:rsid w:val="007612F0"/>
    <w:rsid w:val="007615D2"/>
    <w:rsid w:val="00762069"/>
    <w:rsid w:val="00762774"/>
    <w:rsid w:val="007627BC"/>
    <w:rsid w:val="00762CDA"/>
    <w:rsid w:val="00762DDF"/>
    <w:rsid w:val="0076322B"/>
    <w:rsid w:val="00763D2A"/>
    <w:rsid w:val="00763F00"/>
    <w:rsid w:val="007645DD"/>
    <w:rsid w:val="00764F93"/>
    <w:rsid w:val="0076521E"/>
    <w:rsid w:val="0076557C"/>
    <w:rsid w:val="00765789"/>
    <w:rsid w:val="007658F0"/>
    <w:rsid w:val="00765F50"/>
    <w:rsid w:val="007663E4"/>
    <w:rsid w:val="00766EA0"/>
    <w:rsid w:val="00767503"/>
    <w:rsid w:val="0076753E"/>
    <w:rsid w:val="007676AF"/>
    <w:rsid w:val="00767E7F"/>
    <w:rsid w:val="0077041E"/>
    <w:rsid w:val="0077042E"/>
    <w:rsid w:val="00770D4A"/>
    <w:rsid w:val="007717AD"/>
    <w:rsid w:val="00771866"/>
    <w:rsid w:val="00772182"/>
    <w:rsid w:val="00772235"/>
    <w:rsid w:val="0077258F"/>
    <w:rsid w:val="007726F8"/>
    <w:rsid w:val="0077347B"/>
    <w:rsid w:val="00774159"/>
    <w:rsid w:val="007742B2"/>
    <w:rsid w:val="00774A02"/>
    <w:rsid w:val="00774D2C"/>
    <w:rsid w:val="00774EBE"/>
    <w:rsid w:val="007754AC"/>
    <w:rsid w:val="0077582B"/>
    <w:rsid w:val="00775F28"/>
    <w:rsid w:val="0077623E"/>
    <w:rsid w:val="00776A0D"/>
    <w:rsid w:val="00776A19"/>
    <w:rsid w:val="00776B66"/>
    <w:rsid w:val="00777ADC"/>
    <w:rsid w:val="00777CBB"/>
    <w:rsid w:val="00780554"/>
    <w:rsid w:val="007805BB"/>
    <w:rsid w:val="00780841"/>
    <w:rsid w:val="00780C65"/>
    <w:rsid w:val="00781420"/>
    <w:rsid w:val="0078169F"/>
    <w:rsid w:val="0078217A"/>
    <w:rsid w:val="00782CF7"/>
    <w:rsid w:val="00782D72"/>
    <w:rsid w:val="00783122"/>
    <w:rsid w:val="00783588"/>
    <w:rsid w:val="00783AF1"/>
    <w:rsid w:val="00783C76"/>
    <w:rsid w:val="00783F65"/>
    <w:rsid w:val="007840FD"/>
    <w:rsid w:val="00784152"/>
    <w:rsid w:val="007843FA"/>
    <w:rsid w:val="00784647"/>
    <w:rsid w:val="00784D35"/>
    <w:rsid w:val="00785409"/>
    <w:rsid w:val="00786983"/>
    <w:rsid w:val="00786A82"/>
    <w:rsid w:val="00786CD4"/>
    <w:rsid w:val="00786D13"/>
    <w:rsid w:val="00786ECB"/>
    <w:rsid w:val="00786F2F"/>
    <w:rsid w:val="007870E3"/>
    <w:rsid w:val="00787132"/>
    <w:rsid w:val="007879A7"/>
    <w:rsid w:val="007879AB"/>
    <w:rsid w:val="007879C9"/>
    <w:rsid w:val="00787BD6"/>
    <w:rsid w:val="00787D8B"/>
    <w:rsid w:val="00787DAF"/>
    <w:rsid w:val="00787E13"/>
    <w:rsid w:val="00790651"/>
    <w:rsid w:val="007906D0"/>
    <w:rsid w:val="00790EF4"/>
    <w:rsid w:val="007912A2"/>
    <w:rsid w:val="00792191"/>
    <w:rsid w:val="00792CD8"/>
    <w:rsid w:val="0079353F"/>
    <w:rsid w:val="00793B3E"/>
    <w:rsid w:val="00794096"/>
    <w:rsid w:val="007940EA"/>
    <w:rsid w:val="007944E3"/>
    <w:rsid w:val="00795190"/>
    <w:rsid w:val="0079530A"/>
    <w:rsid w:val="0079548F"/>
    <w:rsid w:val="0079579E"/>
    <w:rsid w:val="00795D3E"/>
    <w:rsid w:val="00795FC2"/>
    <w:rsid w:val="0079611D"/>
    <w:rsid w:val="007966D6"/>
    <w:rsid w:val="007967CC"/>
    <w:rsid w:val="00796A01"/>
    <w:rsid w:val="00796BBC"/>
    <w:rsid w:val="00796F86"/>
    <w:rsid w:val="00796FD1"/>
    <w:rsid w:val="00797870"/>
    <w:rsid w:val="007978BB"/>
    <w:rsid w:val="00797C95"/>
    <w:rsid w:val="00797DD1"/>
    <w:rsid w:val="00797E11"/>
    <w:rsid w:val="007A01CF"/>
    <w:rsid w:val="007A02C1"/>
    <w:rsid w:val="007A02CA"/>
    <w:rsid w:val="007A0ADF"/>
    <w:rsid w:val="007A11E6"/>
    <w:rsid w:val="007A123D"/>
    <w:rsid w:val="007A1863"/>
    <w:rsid w:val="007A1B75"/>
    <w:rsid w:val="007A2189"/>
    <w:rsid w:val="007A22A0"/>
    <w:rsid w:val="007A2668"/>
    <w:rsid w:val="007A27C5"/>
    <w:rsid w:val="007A2E4F"/>
    <w:rsid w:val="007A3244"/>
    <w:rsid w:val="007A325A"/>
    <w:rsid w:val="007A355B"/>
    <w:rsid w:val="007A3784"/>
    <w:rsid w:val="007A3874"/>
    <w:rsid w:val="007A3CB3"/>
    <w:rsid w:val="007A44B4"/>
    <w:rsid w:val="007A45C7"/>
    <w:rsid w:val="007A45DE"/>
    <w:rsid w:val="007A4B58"/>
    <w:rsid w:val="007A5347"/>
    <w:rsid w:val="007A5712"/>
    <w:rsid w:val="007A575B"/>
    <w:rsid w:val="007A5D6D"/>
    <w:rsid w:val="007A6848"/>
    <w:rsid w:val="007A731B"/>
    <w:rsid w:val="007A7A5A"/>
    <w:rsid w:val="007B047A"/>
    <w:rsid w:val="007B04E3"/>
    <w:rsid w:val="007B0586"/>
    <w:rsid w:val="007B0731"/>
    <w:rsid w:val="007B0811"/>
    <w:rsid w:val="007B0C6D"/>
    <w:rsid w:val="007B0CB6"/>
    <w:rsid w:val="007B0EDA"/>
    <w:rsid w:val="007B1533"/>
    <w:rsid w:val="007B17EF"/>
    <w:rsid w:val="007B1895"/>
    <w:rsid w:val="007B1C33"/>
    <w:rsid w:val="007B1EA7"/>
    <w:rsid w:val="007B2896"/>
    <w:rsid w:val="007B3037"/>
    <w:rsid w:val="007B32B0"/>
    <w:rsid w:val="007B375D"/>
    <w:rsid w:val="007B3BF6"/>
    <w:rsid w:val="007B3EB4"/>
    <w:rsid w:val="007B46EB"/>
    <w:rsid w:val="007B4A3B"/>
    <w:rsid w:val="007B4C85"/>
    <w:rsid w:val="007B54A5"/>
    <w:rsid w:val="007B5632"/>
    <w:rsid w:val="007B7068"/>
    <w:rsid w:val="007B7E35"/>
    <w:rsid w:val="007C0A66"/>
    <w:rsid w:val="007C12C8"/>
    <w:rsid w:val="007C12E6"/>
    <w:rsid w:val="007C1A4D"/>
    <w:rsid w:val="007C1F27"/>
    <w:rsid w:val="007C2438"/>
    <w:rsid w:val="007C2472"/>
    <w:rsid w:val="007C25A0"/>
    <w:rsid w:val="007C2A7C"/>
    <w:rsid w:val="007C2FA7"/>
    <w:rsid w:val="007C3272"/>
    <w:rsid w:val="007C34CC"/>
    <w:rsid w:val="007C36C9"/>
    <w:rsid w:val="007C3815"/>
    <w:rsid w:val="007C3818"/>
    <w:rsid w:val="007C3839"/>
    <w:rsid w:val="007C3BE8"/>
    <w:rsid w:val="007C3F3D"/>
    <w:rsid w:val="007C42F1"/>
    <w:rsid w:val="007C4538"/>
    <w:rsid w:val="007C4B47"/>
    <w:rsid w:val="007C4C26"/>
    <w:rsid w:val="007C4EC0"/>
    <w:rsid w:val="007C4EE5"/>
    <w:rsid w:val="007C4EFD"/>
    <w:rsid w:val="007C4F29"/>
    <w:rsid w:val="007C5531"/>
    <w:rsid w:val="007C5AB5"/>
    <w:rsid w:val="007C6635"/>
    <w:rsid w:val="007C6B10"/>
    <w:rsid w:val="007C7626"/>
    <w:rsid w:val="007C79BE"/>
    <w:rsid w:val="007C7C26"/>
    <w:rsid w:val="007C7E6C"/>
    <w:rsid w:val="007D0875"/>
    <w:rsid w:val="007D0C9C"/>
    <w:rsid w:val="007D11C6"/>
    <w:rsid w:val="007D1F94"/>
    <w:rsid w:val="007D20C3"/>
    <w:rsid w:val="007D216E"/>
    <w:rsid w:val="007D2386"/>
    <w:rsid w:val="007D3080"/>
    <w:rsid w:val="007D38A2"/>
    <w:rsid w:val="007D38C2"/>
    <w:rsid w:val="007D3D27"/>
    <w:rsid w:val="007D3F58"/>
    <w:rsid w:val="007D3FBD"/>
    <w:rsid w:val="007D43DA"/>
    <w:rsid w:val="007D4567"/>
    <w:rsid w:val="007D497E"/>
    <w:rsid w:val="007D7201"/>
    <w:rsid w:val="007D77F3"/>
    <w:rsid w:val="007E0DB4"/>
    <w:rsid w:val="007E0FE6"/>
    <w:rsid w:val="007E0FFC"/>
    <w:rsid w:val="007E1181"/>
    <w:rsid w:val="007E1375"/>
    <w:rsid w:val="007E13D6"/>
    <w:rsid w:val="007E13E2"/>
    <w:rsid w:val="007E1456"/>
    <w:rsid w:val="007E1526"/>
    <w:rsid w:val="007E1616"/>
    <w:rsid w:val="007E17C6"/>
    <w:rsid w:val="007E1813"/>
    <w:rsid w:val="007E1A20"/>
    <w:rsid w:val="007E1E04"/>
    <w:rsid w:val="007E2436"/>
    <w:rsid w:val="007E2621"/>
    <w:rsid w:val="007E28FF"/>
    <w:rsid w:val="007E2A95"/>
    <w:rsid w:val="007E2C68"/>
    <w:rsid w:val="007E2DD2"/>
    <w:rsid w:val="007E34DC"/>
    <w:rsid w:val="007E440B"/>
    <w:rsid w:val="007E488E"/>
    <w:rsid w:val="007E4B38"/>
    <w:rsid w:val="007E4DE1"/>
    <w:rsid w:val="007E55B8"/>
    <w:rsid w:val="007E58C1"/>
    <w:rsid w:val="007E59A0"/>
    <w:rsid w:val="007E6A6D"/>
    <w:rsid w:val="007E72BE"/>
    <w:rsid w:val="007E72F6"/>
    <w:rsid w:val="007E7DFF"/>
    <w:rsid w:val="007F025A"/>
    <w:rsid w:val="007F0264"/>
    <w:rsid w:val="007F02C2"/>
    <w:rsid w:val="007F0F9B"/>
    <w:rsid w:val="007F168C"/>
    <w:rsid w:val="007F1B8E"/>
    <w:rsid w:val="007F1D9C"/>
    <w:rsid w:val="007F21E6"/>
    <w:rsid w:val="007F2283"/>
    <w:rsid w:val="007F2D44"/>
    <w:rsid w:val="007F2ED8"/>
    <w:rsid w:val="007F333C"/>
    <w:rsid w:val="007F3A22"/>
    <w:rsid w:val="007F46CC"/>
    <w:rsid w:val="007F5615"/>
    <w:rsid w:val="007F6B01"/>
    <w:rsid w:val="007F6E37"/>
    <w:rsid w:val="007F7092"/>
    <w:rsid w:val="007F7BEE"/>
    <w:rsid w:val="007F7FC9"/>
    <w:rsid w:val="00800252"/>
    <w:rsid w:val="0080068A"/>
    <w:rsid w:val="00800C3D"/>
    <w:rsid w:val="00801748"/>
    <w:rsid w:val="00801A0E"/>
    <w:rsid w:val="00801B41"/>
    <w:rsid w:val="00801FE1"/>
    <w:rsid w:val="00802790"/>
    <w:rsid w:val="00802C06"/>
    <w:rsid w:val="00802D40"/>
    <w:rsid w:val="008038C1"/>
    <w:rsid w:val="00803A2E"/>
    <w:rsid w:val="00803CA0"/>
    <w:rsid w:val="0080407F"/>
    <w:rsid w:val="00804971"/>
    <w:rsid w:val="00804B20"/>
    <w:rsid w:val="00804CBF"/>
    <w:rsid w:val="00804E56"/>
    <w:rsid w:val="008050DE"/>
    <w:rsid w:val="00805483"/>
    <w:rsid w:val="00805749"/>
    <w:rsid w:val="00805873"/>
    <w:rsid w:val="00805923"/>
    <w:rsid w:val="008059C5"/>
    <w:rsid w:val="008059F2"/>
    <w:rsid w:val="00805A52"/>
    <w:rsid w:val="008068FB"/>
    <w:rsid w:val="00806AA1"/>
    <w:rsid w:val="00806B76"/>
    <w:rsid w:val="00806BE7"/>
    <w:rsid w:val="008077D3"/>
    <w:rsid w:val="008079AF"/>
    <w:rsid w:val="00807F47"/>
    <w:rsid w:val="008106D5"/>
    <w:rsid w:val="008122CE"/>
    <w:rsid w:val="00812324"/>
    <w:rsid w:val="00812349"/>
    <w:rsid w:val="00812564"/>
    <w:rsid w:val="0081269F"/>
    <w:rsid w:val="00812757"/>
    <w:rsid w:val="00813018"/>
    <w:rsid w:val="00813432"/>
    <w:rsid w:val="008134BC"/>
    <w:rsid w:val="00813A7C"/>
    <w:rsid w:val="00814AB8"/>
    <w:rsid w:val="00814FFB"/>
    <w:rsid w:val="0081553E"/>
    <w:rsid w:val="00815641"/>
    <w:rsid w:val="00815B72"/>
    <w:rsid w:val="008161B8"/>
    <w:rsid w:val="008163D2"/>
    <w:rsid w:val="008166E7"/>
    <w:rsid w:val="0081679F"/>
    <w:rsid w:val="00816D3A"/>
    <w:rsid w:val="008170E2"/>
    <w:rsid w:val="00817E94"/>
    <w:rsid w:val="00820018"/>
    <w:rsid w:val="008207B3"/>
    <w:rsid w:val="00820F99"/>
    <w:rsid w:val="00821030"/>
    <w:rsid w:val="00821066"/>
    <w:rsid w:val="0082112B"/>
    <w:rsid w:val="008227C0"/>
    <w:rsid w:val="00822913"/>
    <w:rsid w:val="00822E59"/>
    <w:rsid w:val="008230EC"/>
    <w:rsid w:val="00823D43"/>
    <w:rsid w:val="008243EF"/>
    <w:rsid w:val="00824436"/>
    <w:rsid w:val="0082451D"/>
    <w:rsid w:val="00826BC8"/>
    <w:rsid w:val="0082743F"/>
    <w:rsid w:val="008276A2"/>
    <w:rsid w:val="00827A0D"/>
    <w:rsid w:val="00827ACA"/>
    <w:rsid w:val="00827D06"/>
    <w:rsid w:val="0083047E"/>
    <w:rsid w:val="00830726"/>
    <w:rsid w:val="00830AF8"/>
    <w:rsid w:val="008319F8"/>
    <w:rsid w:val="00832601"/>
    <w:rsid w:val="00832A19"/>
    <w:rsid w:val="0083355E"/>
    <w:rsid w:val="008335C6"/>
    <w:rsid w:val="00833E24"/>
    <w:rsid w:val="00833FD2"/>
    <w:rsid w:val="0083495F"/>
    <w:rsid w:val="00834ADF"/>
    <w:rsid w:val="00834ED2"/>
    <w:rsid w:val="0083524C"/>
    <w:rsid w:val="00835773"/>
    <w:rsid w:val="0083602A"/>
    <w:rsid w:val="0083628A"/>
    <w:rsid w:val="008369F7"/>
    <w:rsid w:val="00836BC2"/>
    <w:rsid w:val="00836F07"/>
    <w:rsid w:val="0083700E"/>
    <w:rsid w:val="0083797D"/>
    <w:rsid w:val="00840A21"/>
    <w:rsid w:val="00840EA2"/>
    <w:rsid w:val="0084103A"/>
    <w:rsid w:val="0084191E"/>
    <w:rsid w:val="0084201E"/>
    <w:rsid w:val="00842BE1"/>
    <w:rsid w:val="008439ED"/>
    <w:rsid w:val="00843E63"/>
    <w:rsid w:val="00843FD2"/>
    <w:rsid w:val="00844448"/>
    <w:rsid w:val="0084446E"/>
    <w:rsid w:val="008447BE"/>
    <w:rsid w:val="00844A05"/>
    <w:rsid w:val="008450EE"/>
    <w:rsid w:val="00845A48"/>
    <w:rsid w:val="00845DB6"/>
    <w:rsid w:val="00845E91"/>
    <w:rsid w:val="0084699A"/>
    <w:rsid w:val="008471EE"/>
    <w:rsid w:val="0084777F"/>
    <w:rsid w:val="00850A89"/>
    <w:rsid w:val="00851088"/>
    <w:rsid w:val="008512CA"/>
    <w:rsid w:val="00851783"/>
    <w:rsid w:val="00851B96"/>
    <w:rsid w:val="00851CE8"/>
    <w:rsid w:val="008529B0"/>
    <w:rsid w:val="008529E3"/>
    <w:rsid w:val="00853524"/>
    <w:rsid w:val="008536F6"/>
    <w:rsid w:val="00853CDB"/>
    <w:rsid w:val="00854778"/>
    <w:rsid w:val="008547DE"/>
    <w:rsid w:val="00854E05"/>
    <w:rsid w:val="00855334"/>
    <w:rsid w:val="0085546F"/>
    <w:rsid w:val="00855651"/>
    <w:rsid w:val="00855689"/>
    <w:rsid w:val="008563A8"/>
    <w:rsid w:val="00856794"/>
    <w:rsid w:val="00856B7D"/>
    <w:rsid w:val="00856C03"/>
    <w:rsid w:val="00857026"/>
    <w:rsid w:val="008573EB"/>
    <w:rsid w:val="008573FC"/>
    <w:rsid w:val="0085775F"/>
    <w:rsid w:val="00857EA3"/>
    <w:rsid w:val="00860A6B"/>
    <w:rsid w:val="00860CC8"/>
    <w:rsid w:val="00860D23"/>
    <w:rsid w:val="00860DBA"/>
    <w:rsid w:val="00860EB1"/>
    <w:rsid w:val="00860F7C"/>
    <w:rsid w:val="00861241"/>
    <w:rsid w:val="0086132C"/>
    <w:rsid w:val="008613B2"/>
    <w:rsid w:val="00861FD7"/>
    <w:rsid w:val="00862087"/>
    <w:rsid w:val="0086208B"/>
    <w:rsid w:val="00862184"/>
    <w:rsid w:val="0086240D"/>
    <w:rsid w:val="00862488"/>
    <w:rsid w:val="00862A5E"/>
    <w:rsid w:val="00862EE2"/>
    <w:rsid w:val="0086311C"/>
    <w:rsid w:val="008633E7"/>
    <w:rsid w:val="00863A9C"/>
    <w:rsid w:val="00863B62"/>
    <w:rsid w:val="008640DB"/>
    <w:rsid w:val="00864168"/>
    <w:rsid w:val="008642B0"/>
    <w:rsid w:val="0086431C"/>
    <w:rsid w:val="008645DD"/>
    <w:rsid w:val="0086478B"/>
    <w:rsid w:val="00865124"/>
    <w:rsid w:val="008653A9"/>
    <w:rsid w:val="008655CA"/>
    <w:rsid w:val="00865B5C"/>
    <w:rsid w:val="00865B90"/>
    <w:rsid w:val="00865E25"/>
    <w:rsid w:val="00865F2C"/>
    <w:rsid w:val="00866526"/>
    <w:rsid w:val="008666A0"/>
    <w:rsid w:val="008701B7"/>
    <w:rsid w:val="008701ED"/>
    <w:rsid w:val="008713C2"/>
    <w:rsid w:val="008718FA"/>
    <w:rsid w:val="00872082"/>
    <w:rsid w:val="008720BA"/>
    <w:rsid w:val="0087235C"/>
    <w:rsid w:val="00872C0B"/>
    <w:rsid w:val="00873275"/>
    <w:rsid w:val="0087333F"/>
    <w:rsid w:val="00873534"/>
    <w:rsid w:val="008735BB"/>
    <w:rsid w:val="00874E01"/>
    <w:rsid w:val="00874E67"/>
    <w:rsid w:val="008758EA"/>
    <w:rsid w:val="00875A5A"/>
    <w:rsid w:val="00875DC3"/>
    <w:rsid w:val="008762BD"/>
    <w:rsid w:val="0087653E"/>
    <w:rsid w:val="008766D4"/>
    <w:rsid w:val="008769DF"/>
    <w:rsid w:val="00877370"/>
    <w:rsid w:val="00877AD0"/>
    <w:rsid w:val="00877E52"/>
    <w:rsid w:val="00877F58"/>
    <w:rsid w:val="008808B6"/>
    <w:rsid w:val="0088188B"/>
    <w:rsid w:val="008819F1"/>
    <w:rsid w:val="00881BBD"/>
    <w:rsid w:val="00881CAC"/>
    <w:rsid w:val="008827BB"/>
    <w:rsid w:val="0088339C"/>
    <w:rsid w:val="008833E1"/>
    <w:rsid w:val="00883516"/>
    <w:rsid w:val="00883A41"/>
    <w:rsid w:val="00883DA2"/>
    <w:rsid w:val="00884426"/>
    <w:rsid w:val="00884B0A"/>
    <w:rsid w:val="008855FD"/>
    <w:rsid w:val="00885749"/>
    <w:rsid w:val="00885B90"/>
    <w:rsid w:val="00885C07"/>
    <w:rsid w:val="00885C6B"/>
    <w:rsid w:val="00885F9E"/>
    <w:rsid w:val="00886073"/>
    <w:rsid w:val="008863F8"/>
    <w:rsid w:val="0088648A"/>
    <w:rsid w:val="0088657A"/>
    <w:rsid w:val="008866C1"/>
    <w:rsid w:val="00886BB6"/>
    <w:rsid w:val="00886D35"/>
    <w:rsid w:val="00887137"/>
    <w:rsid w:val="00887E54"/>
    <w:rsid w:val="00887F9D"/>
    <w:rsid w:val="00890196"/>
    <w:rsid w:val="008903F2"/>
    <w:rsid w:val="008905D2"/>
    <w:rsid w:val="008907B8"/>
    <w:rsid w:val="00890A97"/>
    <w:rsid w:val="00890C78"/>
    <w:rsid w:val="00890F84"/>
    <w:rsid w:val="0089110B"/>
    <w:rsid w:val="00891214"/>
    <w:rsid w:val="008916EC"/>
    <w:rsid w:val="008917AA"/>
    <w:rsid w:val="00891AE3"/>
    <w:rsid w:val="00892B37"/>
    <w:rsid w:val="00892B9F"/>
    <w:rsid w:val="00893779"/>
    <w:rsid w:val="00893E23"/>
    <w:rsid w:val="00894010"/>
    <w:rsid w:val="0089401C"/>
    <w:rsid w:val="00894132"/>
    <w:rsid w:val="0089437F"/>
    <w:rsid w:val="00894985"/>
    <w:rsid w:val="00894D39"/>
    <w:rsid w:val="00894EBD"/>
    <w:rsid w:val="00894F94"/>
    <w:rsid w:val="00895700"/>
    <w:rsid w:val="00895725"/>
    <w:rsid w:val="00895884"/>
    <w:rsid w:val="00895B3C"/>
    <w:rsid w:val="0089608F"/>
    <w:rsid w:val="0089644E"/>
    <w:rsid w:val="008968CD"/>
    <w:rsid w:val="008969BD"/>
    <w:rsid w:val="00896E16"/>
    <w:rsid w:val="00896F32"/>
    <w:rsid w:val="008970DD"/>
    <w:rsid w:val="008971AC"/>
    <w:rsid w:val="008971B3"/>
    <w:rsid w:val="0089741F"/>
    <w:rsid w:val="008974C1"/>
    <w:rsid w:val="0089772A"/>
    <w:rsid w:val="00897ADD"/>
    <w:rsid w:val="00897EE3"/>
    <w:rsid w:val="00897F2B"/>
    <w:rsid w:val="00897F31"/>
    <w:rsid w:val="00897F41"/>
    <w:rsid w:val="008A0243"/>
    <w:rsid w:val="008A09BB"/>
    <w:rsid w:val="008A101B"/>
    <w:rsid w:val="008A1043"/>
    <w:rsid w:val="008A1CD7"/>
    <w:rsid w:val="008A1E78"/>
    <w:rsid w:val="008A20C8"/>
    <w:rsid w:val="008A2125"/>
    <w:rsid w:val="008A21E3"/>
    <w:rsid w:val="008A2824"/>
    <w:rsid w:val="008A2E24"/>
    <w:rsid w:val="008A2E84"/>
    <w:rsid w:val="008A3119"/>
    <w:rsid w:val="008A432A"/>
    <w:rsid w:val="008A43BA"/>
    <w:rsid w:val="008A468A"/>
    <w:rsid w:val="008A47D6"/>
    <w:rsid w:val="008A4F8B"/>
    <w:rsid w:val="008A5027"/>
    <w:rsid w:val="008A5A79"/>
    <w:rsid w:val="008A5B66"/>
    <w:rsid w:val="008A5CE0"/>
    <w:rsid w:val="008A5DC2"/>
    <w:rsid w:val="008A726F"/>
    <w:rsid w:val="008A77BA"/>
    <w:rsid w:val="008A77D1"/>
    <w:rsid w:val="008A7A2A"/>
    <w:rsid w:val="008A7BF4"/>
    <w:rsid w:val="008A7D39"/>
    <w:rsid w:val="008A7DA4"/>
    <w:rsid w:val="008A7DD6"/>
    <w:rsid w:val="008A7DEE"/>
    <w:rsid w:val="008B0677"/>
    <w:rsid w:val="008B09C8"/>
    <w:rsid w:val="008B0EDB"/>
    <w:rsid w:val="008B1BB0"/>
    <w:rsid w:val="008B1D1D"/>
    <w:rsid w:val="008B1E2D"/>
    <w:rsid w:val="008B1EB9"/>
    <w:rsid w:val="008B1EEB"/>
    <w:rsid w:val="008B210D"/>
    <w:rsid w:val="008B21CA"/>
    <w:rsid w:val="008B26E8"/>
    <w:rsid w:val="008B30F2"/>
    <w:rsid w:val="008B3DA2"/>
    <w:rsid w:val="008B4497"/>
    <w:rsid w:val="008B44A8"/>
    <w:rsid w:val="008B4739"/>
    <w:rsid w:val="008B4A4A"/>
    <w:rsid w:val="008B4FF6"/>
    <w:rsid w:val="008B5836"/>
    <w:rsid w:val="008B6B66"/>
    <w:rsid w:val="008B6C7E"/>
    <w:rsid w:val="008B758A"/>
    <w:rsid w:val="008B7DE5"/>
    <w:rsid w:val="008C039B"/>
    <w:rsid w:val="008C03A6"/>
    <w:rsid w:val="008C095F"/>
    <w:rsid w:val="008C1329"/>
    <w:rsid w:val="008C14C6"/>
    <w:rsid w:val="008C1754"/>
    <w:rsid w:val="008C1B69"/>
    <w:rsid w:val="008C1B80"/>
    <w:rsid w:val="008C226D"/>
    <w:rsid w:val="008C3B8F"/>
    <w:rsid w:val="008C3CA8"/>
    <w:rsid w:val="008C3E40"/>
    <w:rsid w:val="008C3F29"/>
    <w:rsid w:val="008C4138"/>
    <w:rsid w:val="008C5024"/>
    <w:rsid w:val="008C536E"/>
    <w:rsid w:val="008C5753"/>
    <w:rsid w:val="008C5CBE"/>
    <w:rsid w:val="008C62AC"/>
    <w:rsid w:val="008C63BA"/>
    <w:rsid w:val="008C649B"/>
    <w:rsid w:val="008C6A9F"/>
    <w:rsid w:val="008C6BA5"/>
    <w:rsid w:val="008C6D96"/>
    <w:rsid w:val="008C7795"/>
    <w:rsid w:val="008D0209"/>
    <w:rsid w:val="008D043B"/>
    <w:rsid w:val="008D04B8"/>
    <w:rsid w:val="008D0564"/>
    <w:rsid w:val="008D0742"/>
    <w:rsid w:val="008D1B6E"/>
    <w:rsid w:val="008D1E7B"/>
    <w:rsid w:val="008D2BAD"/>
    <w:rsid w:val="008D3078"/>
    <w:rsid w:val="008D3DD8"/>
    <w:rsid w:val="008D41EE"/>
    <w:rsid w:val="008D437D"/>
    <w:rsid w:val="008D4A02"/>
    <w:rsid w:val="008D4D87"/>
    <w:rsid w:val="008D4F8C"/>
    <w:rsid w:val="008D52F9"/>
    <w:rsid w:val="008D5305"/>
    <w:rsid w:val="008D5586"/>
    <w:rsid w:val="008D5833"/>
    <w:rsid w:val="008D5E80"/>
    <w:rsid w:val="008D5F3D"/>
    <w:rsid w:val="008D5F89"/>
    <w:rsid w:val="008D608C"/>
    <w:rsid w:val="008D6337"/>
    <w:rsid w:val="008D656F"/>
    <w:rsid w:val="008D65B1"/>
    <w:rsid w:val="008D6A7C"/>
    <w:rsid w:val="008D6F56"/>
    <w:rsid w:val="008D7272"/>
    <w:rsid w:val="008D7648"/>
    <w:rsid w:val="008D7E5E"/>
    <w:rsid w:val="008E0474"/>
    <w:rsid w:val="008E0522"/>
    <w:rsid w:val="008E07DF"/>
    <w:rsid w:val="008E0D59"/>
    <w:rsid w:val="008E1077"/>
    <w:rsid w:val="008E11A2"/>
    <w:rsid w:val="008E1535"/>
    <w:rsid w:val="008E171F"/>
    <w:rsid w:val="008E1751"/>
    <w:rsid w:val="008E1EA0"/>
    <w:rsid w:val="008E25DB"/>
    <w:rsid w:val="008E2AC2"/>
    <w:rsid w:val="008E2AD6"/>
    <w:rsid w:val="008E2BC1"/>
    <w:rsid w:val="008E2C0F"/>
    <w:rsid w:val="008E2DCF"/>
    <w:rsid w:val="008E314D"/>
    <w:rsid w:val="008E3BD7"/>
    <w:rsid w:val="008E3F14"/>
    <w:rsid w:val="008E40DB"/>
    <w:rsid w:val="008E4AF1"/>
    <w:rsid w:val="008E5007"/>
    <w:rsid w:val="008E5802"/>
    <w:rsid w:val="008E5B50"/>
    <w:rsid w:val="008E5D34"/>
    <w:rsid w:val="008E5F31"/>
    <w:rsid w:val="008E706E"/>
    <w:rsid w:val="008F03D4"/>
    <w:rsid w:val="008F0E16"/>
    <w:rsid w:val="008F133C"/>
    <w:rsid w:val="008F1578"/>
    <w:rsid w:val="008F1703"/>
    <w:rsid w:val="008F18EF"/>
    <w:rsid w:val="008F1AD9"/>
    <w:rsid w:val="008F1C82"/>
    <w:rsid w:val="008F222F"/>
    <w:rsid w:val="008F3F8A"/>
    <w:rsid w:val="008F4129"/>
    <w:rsid w:val="008F45AB"/>
    <w:rsid w:val="008F45D0"/>
    <w:rsid w:val="008F45D1"/>
    <w:rsid w:val="008F4874"/>
    <w:rsid w:val="008F48DA"/>
    <w:rsid w:val="008F48FD"/>
    <w:rsid w:val="008F4998"/>
    <w:rsid w:val="008F4DD4"/>
    <w:rsid w:val="008F4E56"/>
    <w:rsid w:val="008F4F95"/>
    <w:rsid w:val="008F527B"/>
    <w:rsid w:val="008F576B"/>
    <w:rsid w:val="008F5B13"/>
    <w:rsid w:val="008F6069"/>
    <w:rsid w:val="008F64B9"/>
    <w:rsid w:val="008F69FA"/>
    <w:rsid w:val="008F6E57"/>
    <w:rsid w:val="008F7475"/>
    <w:rsid w:val="008F75FE"/>
    <w:rsid w:val="008F7EF5"/>
    <w:rsid w:val="00900C04"/>
    <w:rsid w:val="00901A0B"/>
    <w:rsid w:val="00901CB9"/>
    <w:rsid w:val="00901EAA"/>
    <w:rsid w:val="009026B1"/>
    <w:rsid w:val="009030DA"/>
    <w:rsid w:val="00903549"/>
    <w:rsid w:val="009039B4"/>
    <w:rsid w:val="00903E6D"/>
    <w:rsid w:val="00903F5B"/>
    <w:rsid w:val="009045AE"/>
    <w:rsid w:val="009048C6"/>
    <w:rsid w:val="009048F5"/>
    <w:rsid w:val="00904C02"/>
    <w:rsid w:val="00904EF6"/>
    <w:rsid w:val="0090566B"/>
    <w:rsid w:val="009056AA"/>
    <w:rsid w:val="00905739"/>
    <w:rsid w:val="00905A08"/>
    <w:rsid w:val="00905B0D"/>
    <w:rsid w:val="0090738C"/>
    <w:rsid w:val="00907585"/>
    <w:rsid w:val="00907D37"/>
    <w:rsid w:val="00910028"/>
    <w:rsid w:val="0091022A"/>
    <w:rsid w:val="00910AC8"/>
    <w:rsid w:val="00911321"/>
    <w:rsid w:val="009113A9"/>
    <w:rsid w:val="00911D65"/>
    <w:rsid w:val="00912E8A"/>
    <w:rsid w:val="009130C2"/>
    <w:rsid w:val="009131E6"/>
    <w:rsid w:val="009133CB"/>
    <w:rsid w:val="009135B2"/>
    <w:rsid w:val="00913A9A"/>
    <w:rsid w:val="00914119"/>
    <w:rsid w:val="00914D01"/>
    <w:rsid w:val="00915026"/>
    <w:rsid w:val="009152B9"/>
    <w:rsid w:val="00915431"/>
    <w:rsid w:val="0091588C"/>
    <w:rsid w:val="0091635D"/>
    <w:rsid w:val="00916632"/>
    <w:rsid w:val="00916A94"/>
    <w:rsid w:val="00916E4F"/>
    <w:rsid w:val="00917799"/>
    <w:rsid w:val="0091785B"/>
    <w:rsid w:val="009178EE"/>
    <w:rsid w:val="00917A1C"/>
    <w:rsid w:val="00917CFF"/>
    <w:rsid w:val="00917E66"/>
    <w:rsid w:val="00920248"/>
    <w:rsid w:val="00920680"/>
    <w:rsid w:val="00920AFB"/>
    <w:rsid w:val="00920CC5"/>
    <w:rsid w:val="00921A85"/>
    <w:rsid w:val="00921B53"/>
    <w:rsid w:val="00921D7E"/>
    <w:rsid w:val="009225E4"/>
    <w:rsid w:val="00923043"/>
    <w:rsid w:val="00923A58"/>
    <w:rsid w:val="009243E7"/>
    <w:rsid w:val="00924D97"/>
    <w:rsid w:val="009253B8"/>
    <w:rsid w:val="009254BD"/>
    <w:rsid w:val="00925E83"/>
    <w:rsid w:val="00926D6E"/>
    <w:rsid w:val="00926EFF"/>
    <w:rsid w:val="0092734E"/>
    <w:rsid w:val="00927394"/>
    <w:rsid w:val="00927E49"/>
    <w:rsid w:val="00927F47"/>
    <w:rsid w:val="009300AC"/>
    <w:rsid w:val="009303CA"/>
    <w:rsid w:val="00930405"/>
    <w:rsid w:val="009315A7"/>
    <w:rsid w:val="0093248F"/>
    <w:rsid w:val="009324E5"/>
    <w:rsid w:val="00932E11"/>
    <w:rsid w:val="00933AEE"/>
    <w:rsid w:val="00933C8A"/>
    <w:rsid w:val="009342AC"/>
    <w:rsid w:val="00934332"/>
    <w:rsid w:val="009343D0"/>
    <w:rsid w:val="009359BB"/>
    <w:rsid w:val="00935C3B"/>
    <w:rsid w:val="00935E56"/>
    <w:rsid w:val="00936390"/>
    <w:rsid w:val="0093666E"/>
    <w:rsid w:val="00936687"/>
    <w:rsid w:val="009368BF"/>
    <w:rsid w:val="00937657"/>
    <w:rsid w:val="00937729"/>
    <w:rsid w:val="00937A24"/>
    <w:rsid w:val="00937A4F"/>
    <w:rsid w:val="00937DE3"/>
    <w:rsid w:val="00937EA3"/>
    <w:rsid w:val="00937FE8"/>
    <w:rsid w:val="009403D1"/>
    <w:rsid w:val="009408A1"/>
    <w:rsid w:val="0094090C"/>
    <w:rsid w:val="00940D7F"/>
    <w:rsid w:val="00940E87"/>
    <w:rsid w:val="009418B2"/>
    <w:rsid w:val="00941C56"/>
    <w:rsid w:val="00941D1C"/>
    <w:rsid w:val="009420C1"/>
    <w:rsid w:val="00942224"/>
    <w:rsid w:val="00943077"/>
    <w:rsid w:val="00943446"/>
    <w:rsid w:val="0094358A"/>
    <w:rsid w:val="009448A1"/>
    <w:rsid w:val="00944BB6"/>
    <w:rsid w:val="00944DD6"/>
    <w:rsid w:val="00945166"/>
    <w:rsid w:val="0094540B"/>
    <w:rsid w:val="009454AF"/>
    <w:rsid w:val="009455AD"/>
    <w:rsid w:val="00945783"/>
    <w:rsid w:val="009458A4"/>
    <w:rsid w:val="00945A7D"/>
    <w:rsid w:val="00945E39"/>
    <w:rsid w:val="00945FFB"/>
    <w:rsid w:val="00946E27"/>
    <w:rsid w:val="00947EC0"/>
    <w:rsid w:val="00947FC4"/>
    <w:rsid w:val="00950561"/>
    <w:rsid w:val="009507E2"/>
    <w:rsid w:val="00950B17"/>
    <w:rsid w:val="00951237"/>
    <w:rsid w:val="0095137A"/>
    <w:rsid w:val="00951520"/>
    <w:rsid w:val="0095182C"/>
    <w:rsid w:val="009519F2"/>
    <w:rsid w:val="00951A6A"/>
    <w:rsid w:val="00951E9C"/>
    <w:rsid w:val="009521A6"/>
    <w:rsid w:val="00952418"/>
    <w:rsid w:val="00953013"/>
    <w:rsid w:val="0095306B"/>
    <w:rsid w:val="009535C6"/>
    <w:rsid w:val="00953AB1"/>
    <w:rsid w:val="00953C87"/>
    <w:rsid w:val="00953D1B"/>
    <w:rsid w:val="0095426C"/>
    <w:rsid w:val="00954782"/>
    <w:rsid w:val="00954A8C"/>
    <w:rsid w:val="00955533"/>
    <w:rsid w:val="009555E7"/>
    <w:rsid w:val="00955775"/>
    <w:rsid w:val="00955D61"/>
    <w:rsid w:val="00956676"/>
    <w:rsid w:val="00956766"/>
    <w:rsid w:val="009568AE"/>
    <w:rsid w:val="00957398"/>
    <w:rsid w:val="00957A70"/>
    <w:rsid w:val="00957BCF"/>
    <w:rsid w:val="0096024A"/>
    <w:rsid w:val="009608BB"/>
    <w:rsid w:val="009609D1"/>
    <w:rsid w:val="0096225B"/>
    <w:rsid w:val="009622D0"/>
    <w:rsid w:val="00962C3E"/>
    <w:rsid w:val="00962C8B"/>
    <w:rsid w:val="00962D97"/>
    <w:rsid w:val="009638D3"/>
    <w:rsid w:val="00963925"/>
    <w:rsid w:val="00963A80"/>
    <w:rsid w:val="00963C3D"/>
    <w:rsid w:val="009642BC"/>
    <w:rsid w:val="00964609"/>
    <w:rsid w:val="00964939"/>
    <w:rsid w:val="009653DD"/>
    <w:rsid w:val="00965586"/>
    <w:rsid w:val="00965FDD"/>
    <w:rsid w:val="00966AB4"/>
    <w:rsid w:val="00966B2B"/>
    <w:rsid w:val="0096790B"/>
    <w:rsid w:val="00970399"/>
    <w:rsid w:val="009703D2"/>
    <w:rsid w:val="009704FB"/>
    <w:rsid w:val="009710EB"/>
    <w:rsid w:val="00971393"/>
    <w:rsid w:val="00971E5D"/>
    <w:rsid w:val="00971F5C"/>
    <w:rsid w:val="009722F8"/>
    <w:rsid w:val="009724CF"/>
    <w:rsid w:val="0097306D"/>
    <w:rsid w:val="009744EA"/>
    <w:rsid w:val="00974838"/>
    <w:rsid w:val="00974CA5"/>
    <w:rsid w:val="00975289"/>
    <w:rsid w:val="009759B9"/>
    <w:rsid w:val="00975B58"/>
    <w:rsid w:val="00975EC0"/>
    <w:rsid w:val="00976101"/>
    <w:rsid w:val="009761CB"/>
    <w:rsid w:val="009774A3"/>
    <w:rsid w:val="0097756B"/>
    <w:rsid w:val="009776F6"/>
    <w:rsid w:val="00977868"/>
    <w:rsid w:val="00977B22"/>
    <w:rsid w:val="00980070"/>
    <w:rsid w:val="0098047C"/>
    <w:rsid w:val="00980EEA"/>
    <w:rsid w:val="00981298"/>
    <w:rsid w:val="009813BC"/>
    <w:rsid w:val="009816CB"/>
    <w:rsid w:val="0098222E"/>
    <w:rsid w:val="00982D2A"/>
    <w:rsid w:val="00982E9D"/>
    <w:rsid w:val="009837A9"/>
    <w:rsid w:val="00983A4B"/>
    <w:rsid w:val="009841C9"/>
    <w:rsid w:val="00984208"/>
    <w:rsid w:val="009842FA"/>
    <w:rsid w:val="00984366"/>
    <w:rsid w:val="0098483C"/>
    <w:rsid w:val="00984D5D"/>
    <w:rsid w:val="00984E4A"/>
    <w:rsid w:val="009852F2"/>
    <w:rsid w:val="00985343"/>
    <w:rsid w:val="009853EC"/>
    <w:rsid w:val="009857C9"/>
    <w:rsid w:val="00985833"/>
    <w:rsid w:val="00985889"/>
    <w:rsid w:val="00985A25"/>
    <w:rsid w:val="00985C56"/>
    <w:rsid w:val="00985E58"/>
    <w:rsid w:val="00986329"/>
    <w:rsid w:val="00986740"/>
    <w:rsid w:val="00986A39"/>
    <w:rsid w:val="00987057"/>
    <w:rsid w:val="00987364"/>
    <w:rsid w:val="00987891"/>
    <w:rsid w:val="00990EF3"/>
    <w:rsid w:val="00991BD8"/>
    <w:rsid w:val="00991D7B"/>
    <w:rsid w:val="00991DD3"/>
    <w:rsid w:val="00992203"/>
    <w:rsid w:val="009924A1"/>
    <w:rsid w:val="009924BA"/>
    <w:rsid w:val="00993FD3"/>
    <w:rsid w:val="00994219"/>
    <w:rsid w:val="00994547"/>
    <w:rsid w:val="0099472F"/>
    <w:rsid w:val="00994824"/>
    <w:rsid w:val="00994E3C"/>
    <w:rsid w:val="00994FE1"/>
    <w:rsid w:val="009953FD"/>
    <w:rsid w:val="00995F70"/>
    <w:rsid w:val="00996072"/>
    <w:rsid w:val="009963AB"/>
    <w:rsid w:val="00996BBF"/>
    <w:rsid w:val="00996E75"/>
    <w:rsid w:val="00997097"/>
    <w:rsid w:val="00997424"/>
    <w:rsid w:val="0099789D"/>
    <w:rsid w:val="009978DF"/>
    <w:rsid w:val="009A015D"/>
    <w:rsid w:val="009A01A6"/>
    <w:rsid w:val="009A06CC"/>
    <w:rsid w:val="009A0D1D"/>
    <w:rsid w:val="009A0DBC"/>
    <w:rsid w:val="009A122D"/>
    <w:rsid w:val="009A150D"/>
    <w:rsid w:val="009A1668"/>
    <w:rsid w:val="009A169D"/>
    <w:rsid w:val="009A2A2B"/>
    <w:rsid w:val="009A2A75"/>
    <w:rsid w:val="009A326E"/>
    <w:rsid w:val="009A3624"/>
    <w:rsid w:val="009A384A"/>
    <w:rsid w:val="009A395E"/>
    <w:rsid w:val="009A3A85"/>
    <w:rsid w:val="009A3B51"/>
    <w:rsid w:val="009A3EE3"/>
    <w:rsid w:val="009A3F65"/>
    <w:rsid w:val="009A467C"/>
    <w:rsid w:val="009A49BE"/>
    <w:rsid w:val="009A4A44"/>
    <w:rsid w:val="009A4A86"/>
    <w:rsid w:val="009A4E8E"/>
    <w:rsid w:val="009A4F61"/>
    <w:rsid w:val="009A51C6"/>
    <w:rsid w:val="009A6361"/>
    <w:rsid w:val="009A6381"/>
    <w:rsid w:val="009A6CBF"/>
    <w:rsid w:val="009A6F2C"/>
    <w:rsid w:val="009A7943"/>
    <w:rsid w:val="009A7FEA"/>
    <w:rsid w:val="009B0535"/>
    <w:rsid w:val="009B053E"/>
    <w:rsid w:val="009B0C2D"/>
    <w:rsid w:val="009B131C"/>
    <w:rsid w:val="009B133B"/>
    <w:rsid w:val="009B1885"/>
    <w:rsid w:val="009B18E4"/>
    <w:rsid w:val="009B1A08"/>
    <w:rsid w:val="009B2437"/>
    <w:rsid w:val="009B249F"/>
    <w:rsid w:val="009B260D"/>
    <w:rsid w:val="009B3391"/>
    <w:rsid w:val="009B3657"/>
    <w:rsid w:val="009B4510"/>
    <w:rsid w:val="009B471E"/>
    <w:rsid w:val="009B4782"/>
    <w:rsid w:val="009B48BA"/>
    <w:rsid w:val="009B53D8"/>
    <w:rsid w:val="009B5511"/>
    <w:rsid w:val="009B57D7"/>
    <w:rsid w:val="009B58E2"/>
    <w:rsid w:val="009B59E5"/>
    <w:rsid w:val="009B64BE"/>
    <w:rsid w:val="009B6590"/>
    <w:rsid w:val="009B699F"/>
    <w:rsid w:val="009B6C9C"/>
    <w:rsid w:val="009B7572"/>
    <w:rsid w:val="009B7E85"/>
    <w:rsid w:val="009B7EC1"/>
    <w:rsid w:val="009C03C6"/>
    <w:rsid w:val="009C0659"/>
    <w:rsid w:val="009C0A73"/>
    <w:rsid w:val="009C0AF3"/>
    <w:rsid w:val="009C15A6"/>
    <w:rsid w:val="009C1C46"/>
    <w:rsid w:val="009C1F75"/>
    <w:rsid w:val="009C20E7"/>
    <w:rsid w:val="009C2149"/>
    <w:rsid w:val="009C2A9E"/>
    <w:rsid w:val="009C2DA0"/>
    <w:rsid w:val="009C3557"/>
    <w:rsid w:val="009C3A51"/>
    <w:rsid w:val="009C3AC9"/>
    <w:rsid w:val="009C3F04"/>
    <w:rsid w:val="009C471B"/>
    <w:rsid w:val="009C4D86"/>
    <w:rsid w:val="009C4DCD"/>
    <w:rsid w:val="009C553B"/>
    <w:rsid w:val="009C5A47"/>
    <w:rsid w:val="009C5B69"/>
    <w:rsid w:val="009C5BDC"/>
    <w:rsid w:val="009C65B1"/>
    <w:rsid w:val="009C6A5F"/>
    <w:rsid w:val="009C6A63"/>
    <w:rsid w:val="009C6DB4"/>
    <w:rsid w:val="009C6E7B"/>
    <w:rsid w:val="009C71FE"/>
    <w:rsid w:val="009C7624"/>
    <w:rsid w:val="009C7799"/>
    <w:rsid w:val="009C7D94"/>
    <w:rsid w:val="009C7F7C"/>
    <w:rsid w:val="009D0550"/>
    <w:rsid w:val="009D0592"/>
    <w:rsid w:val="009D095E"/>
    <w:rsid w:val="009D09FB"/>
    <w:rsid w:val="009D0FAB"/>
    <w:rsid w:val="009D118D"/>
    <w:rsid w:val="009D1311"/>
    <w:rsid w:val="009D1541"/>
    <w:rsid w:val="009D17FC"/>
    <w:rsid w:val="009D17FD"/>
    <w:rsid w:val="009D21DD"/>
    <w:rsid w:val="009D27EE"/>
    <w:rsid w:val="009D2919"/>
    <w:rsid w:val="009D301B"/>
    <w:rsid w:val="009D3239"/>
    <w:rsid w:val="009D37CB"/>
    <w:rsid w:val="009D3AD8"/>
    <w:rsid w:val="009D45C2"/>
    <w:rsid w:val="009D4AEA"/>
    <w:rsid w:val="009D4C4E"/>
    <w:rsid w:val="009D537E"/>
    <w:rsid w:val="009D5513"/>
    <w:rsid w:val="009D562F"/>
    <w:rsid w:val="009D6465"/>
    <w:rsid w:val="009D695E"/>
    <w:rsid w:val="009D739B"/>
    <w:rsid w:val="009D787B"/>
    <w:rsid w:val="009E07D3"/>
    <w:rsid w:val="009E0856"/>
    <w:rsid w:val="009E0D0C"/>
    <w:rsid w:val="009E16E4"/>
    <w:rsid w:val="009E1BEC"/>
    <w:rsid w:val="009E277D"/>
    <w:rsid w:val="009E2A5B"/>
    <w:rsid w:val="009E2D08"/>
    <w:rsid w:val="009E2D90"/>
    <w:rsid w:val="009E30C9"/>
    <w:rsid w:val="009E364D"/>
    <w:rsid w:val="009E3B1D"/>
    <w:rsid w:val="009E4119"/>
    <w:rsid w:val="009E4715"/>
    <w:rsid w:val="009E52DD"/>
    <w:rsid w:val="009E57BC"/>
    <w:rsid w:val="009E58F4"/>
    <w:rsid w:val="009E5EEB"/>
    <w:rsid w:val="009E6835"/>
    <w:rsid w:val="009E7267"/>
    <w:rsid w:val="009E7572"/>
    <w:rsid w:val="009E7AAD"/>
    <w:rsid w:val="009F02FE"/>
    <w:rsid w:val="009F071C"/>
    <w:rsid w:val="009F0AA6"/>
    <w:rsid w:val="009F2099"/>
    <w:rsid w:val="009F263C"/>
    <w:rsid w:val="009F2C49"/>
    <w:rsid w:val="009F3140"/>
    <w:rsid w:val="009F33F3"/>
    <w:rsid w:val="009F3F2D"/>
    <w:rsid w:val="009F42B0"/>
    <w:rsid w:val="009F46E5"/>
    <w:rsid w:val="009F4779"/>
    <w:rsid w:val="009F4F14"/>
    <w:rsid w:val="009F53DF"/>
    <w:rsid w:val="009F645F"/>
    <w:rsid w:val="009F681B"/>
    <w:rsid w:val="009F705C"/>
    <w:rsid w:val="009F717F"/>
    <w:rsid w:val="009F75FF"/>
    <w:rsid w:val="009F77F1"/>
    <w:rsid w:val="009F7955"/>
    <w:rsid w:val="009F7FC6"/>
    <w:rsid w:val="00A000C8"/>
    <w:rsid w:val="00A01083"/>
    <w:rsid w:val="00A0136D"/>
    <w:rsid w:val="00A01739"/>
    <w:rsid w:val="00A0174D"/>
    <w:rsid w:val="00A01E53"/>
    <w:rsid w:val="00A02C3C"/>
    <w:rsid w:val="00A02CF5"/>
    <w:rsid w:val="00A02FFF"/>
    <w:rsid w:val="00A03045"/>
    <w:rsid w:val="00A030D3"/>
    <w:rsid w:val="00A0346D"/>
    <w:rsid w:val="00A037F4"/>
    <w:rsid w:val="00A0414E"/>
    <w:rsid w:val="00A0423F"/>
    <w:rsid w:val="00A04723"/>
    <w:rsid w:val="00A047FF"/>
    <w:rsid w:val="00A04CB5"/>
    <w:rsid w:val="00A04DBE"/>
    <w:rsid w:val="00A0508B"/>
    <w:rsid w:val="00A055AD"/>
    <w:rsid w:val="00A05863"/>
    <w:rsid w:val="00A05B82"/>
    <w:rsid w:val="00A06A8A"/>
    <w:rsid w:val="00A072E7"/>
    <w:rsid w:val="00A07D63"/>
    <w:rsid w:val="00A10CD2"/>
    <w:rsid w:val="00A115B3"/>
    <w:rsid w:val="00A11779"/>
    <w:rsid w:val="00A118DC"/>
    <w:rsid w:val="00A11FBF"/>
    <w:rsid w:val="00A1215A"/>
    <w:rsid w:val="00A12221"/>
    <w:rsid w:val="00A125FD"/>
    <w:rsid w:val="00A12E3E"/>
    <w:rsid w:val="00A1301D"/>
    <w:rsid w:val="00A133E7"/>
    <w:rsid w:val="00A13774"/>
    <w:rsid w:val="00A13B70"/>
    <w:rsid w:val="00A13CC5"/>
    <w:rsid w:val="00A14AB4"/>
    <w:rsid w:val="00A14FAE"/>
    <w:rsid w:val="00A15161"/>
    <w:rsid w:val="00A152B5"/>
    <w:rsid w:val="00A1557E"/>
    <w:rsid w:val="00A155CD"/>
    <w:rsid w:val="00A15E47"/>
    <w:rsid w:val="00A1676F"/>
    <w:rsid w:val="00A200F0"/>
    <w:rsid w:val="00A206A9"/>
    <w:rsid w:val="00A2087B"/>
    <w:rsid w:val="00A20D82"/>
    <w:rsid w:val="00A20E1F"/>
    <w:rsid w:val="00A20E8E"/>
    <w:rsid w:val="00A21002"/>
    <w:rsid w:val="00A2168B"/>
    <w:rsid w:val="00A21897"/>
    <w:rsid w:val="00A21E9F"/>
    <w:rsid w:val="00A2291A"/>
    <w:rsid w:val="00A22C79"/>
    <w:rsid w:val="00A22D29"/>
    <w:rsid w:val="00A22F25"/>
    <w:rsid w:val="00A232D7"/>
    <w:rsid w:val="00A23356"/>
    <w:rsid w:val="00A237DF"/>
    <w:rsid w:val="00A23E0D"/>
    <w:rsid w:val="00A253E4"/>
    <w:rsid w:val="00A254F3"/>
    <w:rsid w:val="00A25530"/>
    <w:rsid w:val="00A2565D"/>
    <w:rsid w:val="00A25B22"/>
    <w:rsid w:val="00A25CCB"/>
    <w:rsid w:val="00A25DDF"/>
    <w:rsid w:val="00A25F55"/>
    <w:rsid w:val="00A267DF"/>
    <w:rsid w:val="00A26820"/>
    <w:rsid w:val="00A26A8B"/>
    <w:rsid w:val="00A26E7F"/>
    <w:rsid w:val="00A27978"/>
    <w:rsid w:val="00A27FAD"/>
    <w:rsid w:val="00A302A5"/>
    <w:rsid w:val="00A30581"/>
    <w:rsid w:val="00A309AC"/>
    <w:rsid w:val="00A30B36"/>
    <w:rsid w:val="00A30B8B"/>
    <w:rsid w:val="00A31E9B"/>
    <w:rsid w:val="00A324E3"/>
    <w:rsid w:val="00A32853"/>
    <w:rsid w:val="00A32C0B"/>
    <w:rsid w:val="00A32DF8"/>
    <w:rsid w:val="00A33C6D"/>
    <w:rsid w:val="00A34B1B"/>
    <w:rsid w:val="00A350C9"/>
    <w:rsid w:val="00A35245"/>
    <w:rsid w:val="00A352A8"/>
    <w:rsid w:val="00A35655"/>
    <w:rsid w:val="00A35845"/>
    <w:rsid w:val="00A35BCF"/>
    <w:rsid w:val="00A36196"/>
    <w:rsid w:val="00A36A0E"/>
    <w:rsid w:val="00A36F1F"/>
    <w:rsid w:val="00A36F9B"/>
    <w:rsid w:val="00A37545"/>
    <w:rsid w:val="00A377D0"/>
    <w:rsid w:val="00A37D87"/>
    <w:rsid w:val="00A37EC1"/>
    <w:rsid w:val="00A37FAC"/>
    <w:rsid w:val="00A403AF"/>
    <w:rsid w:val="00A40E0C"/>
    <w:rsid w:val="00A40F26"/>
    <w:rsid w:val="00A411D7"/>
    <w:rsid w:val="00A415CB"/>
    <w:rsid w:val="00A41BE8"/>
    <w:rsid w:val="00A41CDE"/>
    <w:rsid w:val="00A42784"/>
    <w:rsid w:val="00A42AA5"/>
    <w:rsid w:val="00A42DAC"/>
    <w:rsid w:val="00A43C50"/>
    <w:rsid w:val="00A44C24"/>
    <w:rsid w:val="00A44DA8"/>
    <w:rsid w:val="00A45006"/>
    <w:rsid w:val="00A450B5"/>
    <w:rsid w:val="00A4583D"/>
    <w:rsid w:val="00A4584F"/>
    <w:rsid w:val="00A45CBD"/>
    <w:rsid w:val="00A45E95"/>
    <w:rsid w:val="00A460BB"/>
    <w:rsid w:val="00A4633C"/>
    <w:rsid w:val="00A46729"/>
    <w:rsid w:val="00A46E0A"/>
    <w:rsid w:val="00A47C93"/>
    <w:rsid w:val="00A47DEA"/>
    <w:rsid w:val="00A5036B"/>
    <w:rsid w:val="00A50665"/>
    <w:rsid w:val="00A50A4D"/>
    <w:rsid w:val="00A50A73"/>
    <w:rsid w:val="00A50C59"/>
    <w:rsid w:val="00A50C69"/>
    <w:rsid w:val="00A516B6"/>
    <w:rsid w:val="00A5177A"/>
    <w:rsid w:val="00A51E84"/>
    <w:rsid w:val="00A52832"/>
    <w:rsid w:val="00A52A17"/>
    <w:rsid w:val="00A52EDF"/>
    <w:rsid w:val="00A52FDD"/>
    <w:rsid w:val="00A5317A"/>
    <w:rsid w:val="00A53544"/>
    <w:rsid w:val="00A53E85"/>
    <w:rsid w:val="00A541B0"/>
    <w:rsid w:val="00A54260"/>
    <w:rsid w:val="00A54AA4"/>
    <w:rsid w:val="00A54D52"/>
    <w:rsid w:val="00A54EAC"/>
    <w:rsid w:val="00A550C7"/>
    <w:rsid w:val="00A5528F"/>
    <w:rsid w:val="00A55749"/>
    <w:rsid w:val="00A55AEF"/>
    <w:rsid w:val="00A55E3D"/>
    <w:rsid w:val="00A56EAD"/>
    <w:rsid w:val="00A575FB"/>
    <w:rsid w:val="00A578B0"/>
    <w:rsid w:val="00A57C32"/>
    <w:rsid w:val="00A60040"/>
    <w:rsid w:val="00A6024C"/>
    <w:rsid w:val="00A603CA"/>
    <w:rsid w:val="00A6067F"/>
    <w:rsid w:val="00A6130C"/>
    <w:rsid w:val="00A61332"/>
    <w:rsid w:val="00A6193B"/>
    <w:rsid w:val="00A6199C"/>
    <w:rsid w:val="00A62230"/>
    <w:rsid w:val="00A62414"/>
    <w:rsid w:val="00A6256E"/>
    <w:rsid w:val="00A62FF3"/>
    <w:rsid w:val="00A63350"/>
    <w:rsid w:val="00A63566"/>
    <w:rsid w:val="00A63C5A"/>
    <w:rsid w:val="00A63CA8"/>
    <w:rsid w:val="00A63CBD"/>
    <w:rsid w:val="00A64265"/>
    <w:rsid w:val="00A64930"/>
    <w:rsid w:val="00A64D4E"/>
    <w:rsid w:val="00A64EE2"/>
    <w:rsid w:val="00A65401"/>
    <w:rsid w:val="00A65535"/>
    <w:rsid w:val="00A65564"/>
    <w:rsid w:val="00A65581"/>
    <w:rsid w:val="00A65CDB"/>
    <w:rsid w:val="00A65ECD"/>
    <w:rsid w:val="00A6614F"/>
    <w:rsid w:val="00A666A0"/>
    <w:rsid w:val="00A66AF1"/>
    <w:rsid w:val="00A66B43"/>
    <w:rsid w:val="00A66BDA"/>
    <w:rsid w:val="00A670E4"/>
    <w:rsid w:val="00A67227"/>
    <w:rsid w:val="00A70A3C"/>
    <w:rsid w:val="00A7176D"/>
    <w:rsid w:val="00A71CB8"/>
    <w:rsid w:val="00A72C63"/>
    <w:rsid w:val="00A72DC1"/>
    <w:rsid w:val="00A734DA"/>
    <w:rsid w:val="00A73886"/>
    <w:rsid w:val="00A745A4"/>
    <w:rsid w:val="00A74970"/>
    <w:rsid w:val="00A74AB2"/>
    <w:rsid w:val="00A74FC9"/>
    <w:rsid w:val="00A75742"/>
    <w:rsid w:val="00A75781"/>
    <w:rsid w:val="00A768E3"/>
    <w:rsid w:val="00A76951"/>
    <w:rsid w:val="00A77718"/>
    <w:rsid w:val="00A80302"/>
    <w:rsid w:val="00A80412"/>
    <w:rsid w:val="00A80459"/>
    <w:rsid w:val="00A81273"/>
    <w:rsid w:val="00A813A2"/>
    <w:rsid w:val="00A81ADE"/>
    <w:rsid w:val="00A81BB2"/>
    <w:rsid w:val="00A82559"/>
    <w:rsid w:val="00A82726"/>
    <w:rsid w:val="00A82B8B"/>
    <w:rsid w:val="00A82CFE"/>
    <w:rsid w:val="00A83056"/>
    <w:rsid w:val="00A83387"/>
    <w:rsid w:val="00A83974"/>
    <w:rsid w:val="00A8399A"/>
    <w:rsid w:val="00A83BBE"/>
    <w:rsid w:val="00A8419E"/>
    <w:rsid w:val="00A84239"/>
    <w:rsid w:val="00A8464F"/>
    <w:rsid w:val="00A84737"/>
    <w:rsid w:val="00A84DCB"/>
    <w:rsid w:val="00A850CD"/>
    <w:rsid w:val="00A85559"/>
    <w:rsid w:val="00A8593B"/>
    <w:rsid w:val="00A8611E"/>
    <w:rsid w:val="00A86435"/>
    <w:rsid w:val="00A866FD"/>
    <w:rsid w:val="00A86986"/>
    <w:rsid w:val="00A86FE2"/>
    <w:rsid w:val="00A8722C"/>
    <w:rsid w:val="00A87576"/>
    <w:rsid w:val="00A90E5F"/>
    <w:rsid w:val="00A90F0C"/>
    <w:rsid w:val="00A910E1"/>
    <w:rsid w:val="00A911BA"/>
    <w:rsid w:val="00A91482"/>
    <w:rsid w:val="00A91623"/>
    <w:rsid w:val="00A916A8"/>
    <w:rsid w:val="00A92153"/>
    <w:rsid w:val="00A9218E"/>
    <w:rsid w:val="00A92209"/>
    <w:rsid w:val="00A92845"/>
    <w:rsid w:val="00A9309E"/>
    <w:rsid w:val="00A9319A"/>
    <w:rsid w:val="00A93415"/>
    <w:rsid w:val="00A93993"/>
    <w:rsid w:val="00A93CAB"/>
    <w:rsid w:val="00A93CE1"/>
    <w:rsid w:val="00A93F58"/>
    <w:rsid w:val="00A9402D"/>
    <w:rsid w:val="00A941F0"/>
    <w:rsid w:val="00A948CA"/>
    <w:rsid w:val="00A94C9A"/>
    <w:rsid w:val="00A94D78"/>
    <w:rsid w:val="00A94E08"/>
    <w:rsid w:val="00A9560A"/>
    <w:rsid w:val="00A9596A"/>
    <w:rsid w:val="00A95BF9"/>
    <w:rsid w:val="00A95E7A"/>
    <w:rsid w:val="00A95FF9"/>
    <w:rsid w:val="00A9662B"/>
    <w:rsid w:val="00A967AF"/>
    <w:rsid w:val="00A96964"/>
    <w:rsid w:val="00A96B93"/>
    <w:rsid w:val="00A9713F"/>
    <w:rsid w:val="00A972AA"/>
    <w:rsid w:val="00A9742A"/>
    <w:rsid w:val="00A97688"/>
    <w:rsid w:val="00A97AF8"/>
    <w:rsid w:val="00A97EC9"/>
    <w:rsid w:val="00AA015B"/>
    <w:rsid w:val="00AA0F2E"/>
    <w:rsid w:val="00AA0FD4"/>
    <w:rsid w:val="00AA165A"/>
    <w:rsid w:val="00AA19F6"/>
    <w:rsid w:val="00AA1EF1"/>
    <w:rsid w:val="00AA2375"/>
    <w:rsid w:val="00AA2947"/>
    <w:rsid w:val="00AA29F1"/>
    <w:rsid w:val="00AA323B"/>
    <w:rsid w:val="00AA3742"/>
    <w:rsid w:val="00AA388D"/>
    <w:rsid w:val="00AA3FA7"/>
    <w:rsid w:val="00AA4030"/>
    <w:rsid w:val="00AA4CBB"/>
    <w:rsid w:val="00AA4F6B"/>
    <w:rsid w:val="00AA56C9"/>
    <w:rsid w:val="00AA72B7"/>
    <w:rsid w:val="00AB0121"/>
    <w:rsid w:val="00AB02B2"/>
    <w:rsid w:val="00AB0864"/>
    <w:rsid w:val="00AB0E4B"/>
    <w:rsid w:val="00AB177F"/>
    <w:rsid w:val="00AB1962"/>
    <w:rsid w:val="00AB2278"/>
    <w:rsid w:val="00AB25CB"/>
    <w:rsid w:val="00AB25FE"/>
    <w:rsid w:val="00AB26DC"/>
    <w:rsid w:val="00AB28EC"/>
    <w:rsid w:val="00AB2C9E"/>
    <w:rsid w:val="00AB2CBE"/>
    <w:rsid w:val="00AB37A6"/>
    <w:rsid w:val="00AB40B5"/>
    <w:rsid w:val="00AB4258"/>
    <w:rsid w:val="00AB471D"/>
    <w:rsid w:val="00AB494B"/>
    <w:rsid w:val="00AB4AC4"/>
    <w:rsid w:val="00AB4E15"/>
    <w:rsid w:val="00AB4EF0"/>
    <w:rsid w:val="00AB50D5"/>
    <w:rsid w:val="00AB54F3"/>
    <w:rsid w:val="00AB572E"/>
    <w:rsid w:val="00AB5813"/>
    <w:rsid w:val="00AB5922"/>
    <w:rsid w:val="00AB6587"/>
    <w:rsid w:val="00AB6A3A"/>
    <w:rsid w:val="00AB7836"/>
    <w:rsid w:val="00AB7892"/>
    <w:rsid w:val="00AC010D"/>
    <w:rsid w:val="00AC06B1"/>
    <w:rsid w:val="00AC0BC7"/>
    <w:rsid w:val="00AC0D39"/>
    <w:rsid w:val="00AC1237"/>
    <w:rsid w:val="00AC260A"/>
    <w:rsid w:val="00AC2B28"/>
    <w:rsid w:val="00AC2C43"/>
    <w:rsid w:val="00AC2D81"/>
    <w:rsid w:val="00AC2EED"/>
    <w:rsid w:val="00AC3D1A"/>
    <w:rsid w:val="00AC3D96"/>
    <w:rsid w:val="00AC4524"/>
    <w:rsid w:val="00AC45C7"/>
    <w:rsid w:val="00AC5B03"/>
    <w:rsid w:val="00AC5D29"/>
    <w:rsid w:val="00AC61EB"/>
    <w:rsid w:val="00AC62E0"/>
    <w:rsid w:val="00AC6476"/>
    <w:rsid w:val="00AC6961"/>
    <w:rsid w:val="00AC6B49"/>
    <w:rsid w:val="00AC6DF2"/>
    <w:rsid w:val="00AC72AC"/>
    <w:rsid w:val="00AC7464"/>
    <w:rsid w:val="00AC762D"/>
    <w:rsid w:val="00AD014C"/>
    <w:rsid w:val="00AD0FBD"/>
    <w:rsid w:val="00AD1387"/>
    <w:rsid w:val="00AD13D4"/>
    <w:rsid w:val="00AD14E8"/>
    <w:rsid w:val="00AD1558"/>
    <w:rsid w:val="00AD164E"/>
    <w:rsid w:val="00AD1846"/>
    <w:rsid w:val="00AD1F31"/>
    <w:rsid w:val="00AD207B"/>
    <w:rsid w:val="00AD24DD"/>
    <w:rsid w:val="00AD2502"/>
    <w:rsid w:val="00AD28BC"/>
    <w:rsid w:val="00AD2EA3"/>
    <w:rsid w:val="00AD305E"/>
    <w:rsid w:val="00AD390B"/>
    <w:rsid w:val="00AD3AAB"/>
    <w:rsid w:val="00AD3B54"/>
    <w:rsid w:val="00AD3F8C"/>
    <w:rsid w:val="00AD44E6"/>
    <w:rsid w:val="00AD4825"/>
    <w:rsid w:val="00AD4CF8"/>
    <w:rsid w:val="00AD58E4"/>
    <w:rsid w:val="00AD6294"/>
    <w:rsid w:val="00AD78D7"/>
    <w:rsid w:val="00AD79F9"/>
    <w:rsid w:val="00AD7A53"/>
    <w:rsid w:val="00AE0931"/>
    <w:rsid w:val="00AE0C2A"/>
    <w:rsid w:val="00AE122F"/>
    <w:rsid w:val="00AE1818"/>
    <w:rsid w:val="00AE185C"/>
    <w:rsid w:val="00AE1976"/>
    <w:rsid w:val="00AE22D5"/>
    <w:rsid w:val="00AE243C"/>
    <w:rsid w:val="00AE2703"/>
    <w:rsid w:val="00AE2AE0"/>
    <w:rsid w:val="00AE2C25"/>
    <w:rsid w:val="00AE2D15"/>
    <w:rsid w:val="00AE2FEA"/>
    <w:rsid w:val="00AE390D"/>
    <w:rsid w:val="00AE3FFB"/>
    <w:rsid w:val="00AE46AE"/>
    <w:rsid w:val="00AE4844"/>
    <w:rsid w:val="00AE49D9"/>
    <w:rsid w:val="00AE4AB9"/>
    <w:rsid w:val="00AE4BF5"/>
    <w:rsid w:val="00AE5555"/>
    <w:rsid w:val="00AE5C98"/>
    <w:rsid w:val="00AE6072"/>
    <w:rsid w:val="00AE6A03"/>
    <w:rsid w:val="00AE79BE"/>
    <w:rsid w:val="00AE79FB"/>
    <w:rsid w:val="00AF057B"/>
    <w:rsid w:val="00AF18AF"/>
    <w:rsid w:val="00AF291D"/>
    <w:rsid w:val="00AF2B8F"/>
    <w:rsid w:val="00AF2D0F"/>
    <w:rsid w:val="00AF2FB0"/>
    <w:rsid w:val="00AF30E8"/>
    <w:rsid w:val="00AF3164"/>
    <w:rsid w:val="00AF32E8"/>
    <w:rsid w:val="00AF353C"/>
    <w:rsid w:val="00AF36AC"/>
    <w:rsid w:val="00AF3821"/>
    <w:rsid w:val="00AF3C42"/>
    <w:rsid w:val="00AF483C"/>
    <w:rsid w:val="00AF48B6"/>
    <w:rsid w:val="00AF48DB"/>
    <w:rsid w:val="00AF4DB2"/>
    <w:rsid w:val="00AF5172"/>
    <w:rsid w:val="00AF5698"/>
    <w:rsid w:val="00AF5B20"/>
    <w:rsid w:val="00AF5D5F"/>
    <w:rsid w:val="00AF62C0"/>
    <w:rsid w:val="00AF6524"/>
    <w:rsid w:val="00AF653F"/>
    <w:rsid w:val="00AF66C3"/>
    <w:rsid w:val="00AF6FB2"/>
    <w:rsid w:val="00AF706C"/>
    <w:rsid w:val="00AF71EF"/>
    <w:rsid w:val="00AF72C1"/>
    <w:rsid w:val="00AF770B"/>
    <w:rsid w:val="00AF7B78"/>
    <w:rsid w:val="00AF7BA8"/>
    <w:rsid w:val="00B00033"/>
    <w:rsid w:val="00B00112"/>
    <w:rsid w:val="00B0118E"/>
    <w:rsid w:val="00B01237"/>
    <w:rsid w:val="00B0162A"/>
    <w:rsid w:val="00B01653"/>
    <w:rsid w:val="00B019E1"/>
    <w:rsid w:val="00B01D25"/>
    <w:rsid w:val="00B0244F"/>
    <w:rsid w:val="00B02BA8"/>
    <w:rsid w:val="00B02DA3"/>
    <w:rsid w:val="00B03523"/>
    <w:rsid w:val="00B03F15"/>
    <w:rsid w:val="00B042E2"/>
    <w:rsid w:val="00B04985"/>
    <w:rsid w:val="00B04B7C"/>
    <w:rsid w:val="00B04CB3"/>
    <w:rsid w:val="00B04D19"/>
    <w:rsid w:val="00B0513A"/>
    <w:rsid w:val="00B06092"/>
    <w:rsid w:val="00B06234"/>
    <w:rsid w:val="00B063D6"/>
    <w:rsid w:val="00B0675D"/>
    <w:rsid w:val="00B06A36"/>
    <w:rsid w:val="00B06BB5"/>
    <w:rsid w:val="00B06F8D"/>
    <w:rsid w:val="00B07146"/>
    <w:rsid w:val="00B07494"/>
    <w:rsid w:val="00B07565"/>
    <w:rsid w:val="00B07A14"/>
    <w:rsid w:val="00B11764"/>
    <w:rsid w:val="00B117F2"/>
    <w:rsid w:val="00B11994"/>
    <w:rsid w:val="00B11CB0"/>
    <w:rsid w:val="00B11DD6"/>
    <w:rsid w:val="00B11FB9"/>
    <w:rsid w:val="00B12361"/>
    <w:rsid w:val="00B12966"/>
    <w:rsid w:val="00B12F0C"/>
    <w:rsid w:val="00B131B1"/>
    <w:rsid w:val="00B13360"/>
    <w:rsid w:val="00B14004"/>
    <w:rsid w:val="00B144EB"/>
    <w:rsid w:val="00B14774"/>
    <w:rsid w:val="00B14ADB"/>
    <w:rsid w:val="00B14BB7"/>
    <w:rsid w:val="00B1571E"/>
    <w:rsid w:val="00B1657A"/>
    <w:rsid w:val="00B166D3"/>
    <w:rsid w:val="00B16766"/>
    <w:rsid w:val="00B169AF"/>
    <w:rsid w:val="00B174C4"/>
    <w:rsid w:val="00B17661"/>
    <w:rsid w:val="00B17673"/>
    <w:rsid w:val="00B17764"/>
    <w:rsid w:val="00B17D68"/>
    <w:rsid w:val="00B17FD4"/>
    <w:rsid w:val="00B2011B"/>
    <w:rsid w:val="00B20F3F"/>
    <w:rsid w:val="00B21346"/>
    <w:rsid w:val="00B21747"/>
    <w:rsid w:val="00B21766"/>
    <w:rsid w:val="00B21BA9"/>
    <w:rsid w:val="00B22F5B"/>
    <w:rsid w:val="00B23186"/>
    <w:rsid w:val="00B234A3"/>
    <w:rsid w:val="00B23721"/>
    <w:rsid w:val="00B23A5E"/>
    <w:rsid w:val="00B23B3F"/>
    <w:rsid w:val="00B23B49"/>
    <w:rsid w:val="00B23F54"/>
    <w:rsid w:val="00B242A7"/>
    <w:rsid w:val="00B242AD"/>
    <w:rsid w:val="00B2483E"/>
    <w:rsid w:val="00B24A5B"/>
    <w:rsid w:val="00B24C50"/>
    <w:rsid w:val="00B25EF7"/>
    <w:rsid w:val="00B26AB7"/>
    <w:rsid w:val="00B26E94"/>
    <w:rsid w:val="00B27046"/>
    <w:rsid w:val="00B274A9"/>
    <w:rsid w:val="00B27B0C"/>
    <w:rsid w:val="00B305A2"/>
    <w:rsid w:val="00B311E2"/>
    <w:rsid w:val="00B313A1"/>
    <w:rsid w:val="00B3184D"/>
    <w:rsid w:val="00B31924"/>
    <w:rsid w:val="00B319D6"/>
    <w:rsid w:val="00B31A5E"/>
    <w:rsid w:val="00B31B92"/>
    <w:rsid w:val="00B31E63"/>
    <w:rsid w:val="00B329AA"/>
    <w:rsid w:val="00B32A4C"/>
    <w:rsid w:val="00B32B3F"/>
    <w:rsid w:val="00B33080"/>
    <w:rsid w:val="00B331FD"/>
    <w:rsid w:val="00B33825"/>
    <w:rsid w:val="00B33F84"/>
    <w:rsid w:val="00B33F93"/>
    <w:rsid w:val="00B34B96"/>
    <w:rsid w:val="00B34EB7"/>
    <w:rsid w:val="00B353A2"/>
    <w:rsid w:val="00B355D9"/>
    <w:rsid w:val="00B35E0E"/>
    <w:rsid w:val="00B36171"/>
    <w:rsid w:val="00B36238"/>
    <w:rsid w:val="00B3646D"/>
    <w:rsid w:val="00B36A63"/>
    <w:rsid w:val="00B36CCD"/>
    <w:rsid w:val="00B36DA7"/>
    <w:rsid w:val="00B36DE9"/>
    <w:rsid w:val="00B37094"/>
    <w:rsid w:val="00B3742A"/>
    <w:rsid w:val="00B37A8B"/>
    <w:rsid w:val="00B37B05"/>
    <w:rsid w:val="00B37C90"/>
    <w:rsid w:val="00B37E4F"/>
    <w:rsid w:val="00B402A9"/>
    <w:rsid w:val="00B403CC"/>
    <w:rsid w:val="00B40473"/>
    <w:rsid w:val="00B418F3"/>
    <w:rsid w:val="00B423C9"/>
    <w:rsid w:val="00B424EB"/>
    <w:rsid w:val="00B42841"/>
    <w:rsid w:val="00B42D31"/>
    <w:rsid w:val="00B42DD6"/>
    <w:rsid w:val="00B4361A"/>
    <w:rsid w:val="00B436A2"/>
    <w:rsid w:val="00B4399E"/>
    <w:rsid w:val="00B43C97"/>
    <w:rsid w:val="00B4419E"/>
    <w:rsid w:val="00B4430D"/>
    <w:rsid w:val="00B44715"/>
    <w:rsid w:val="00B4494F"/>
    <w:rsid w:val="00B45003"/>
    <w:rsid w:val="00B4508E"/>
    <w:rsid w:val="00B45244"/>
    <w:rsid w:val="00B45D04"/>
    <w:rsid w:val="00B45E22"/>
    <w:rsid w:val="00B4611E"/>
    <w:rsid w:val="00B46B92"/>
    <w:rsid w:val="00B47290"/>
    <w:rsid w:val="00B47914"/>
    <w:rsid w:val="00B47AAE"/>
    <w:rsid w:val="00B47F17"/>
    <w:rsid w:val="00B5044D"/>
    <w:rsid w:val="00B5060A"/>
    <w:rsid w:val="00B5063D"/>
    <w:rsid w:val="00B50D38"/>
    <w:rsid w:val="00B51697"/>
    <w:rsid w:val="00B51A49"/>
    <w:rsid w:val="00B52985"/>
    <w:rsid w:val="00B52A7F"/>
    <w:rsid w:val="00B531A2"/>
    <w:rsid w:val="00B539A5"/>
    <w:rsid w:val="00B53A66"/>
    <w:rsid w:val="00B53AE9"/>
    <w:rsid w:val="00B53B11"/>
    <w:rsid w:val="00B54C38"/>
    <w:rsid w:val="00B54E0E"/>
    <w:rsid w:val="00B55378"/>
    <w:rsid w:val="00B5613C"/>
    <w:rsid w:val="00B56380"/>
    <w:rsid w:val="00B56F18"/>
    <w:rsid w:val="00B56F70"/>
    <w:rsid w:val="00B57D77"/>
    <w:rsid w:val="00B60364"/>
    <w:rsid w:val="00B60FA7"/>
    <w:rsid w:val="00B60FF8"/>
    <w:rsid w:val="00B61097"/>
    <w:rsid w:val="00B61379"/>
    <w:rsid w:val="00B614CB"/>
    <w:rsid w:val="00B61520"/>
    <w:rsid w:val="00B618C1"/>
    <w:rsid w:val="00B61B4B"/>
    <w:rsid w:val="00B620F6"/>
    <w:rsid w:val="00B63118"/>
    <w:rsid w:val="00B632D5"/>
    <w:rsid w:val="00B63F7A"/>
    <w:rsid w:val="00B64684"/>
    <w:rsid w:val="00B6468B"/>
    <w:rsid w:val="00B64932"/>
    <w:rsid w:val="00B64CCC"/>
    <w:rsid w:val="00B64DC5"/>
    <w:rsid w:val="00B656C3"/>
    <w:rsid w:val="00B656E1"/>
    <w:rsid w:val="00B65F9A"/>
    <w:rsid w:val="00B660BE"/>
    <w:rsid w:val="00B66364"/>
    <w:rsid w:val="00B66736"/>
    <w:rsid w:val="00B66C05"/>
    <w:rsid w:val="00B66C46"/>
    <w:rsid w:val="00B67A07"/>
    <w:rsid w:val="00B67E7F"/>
    <w:rsid w:val="00B70084"/>
    <w:rsid w:val="00B703A5"/>
    <w:rsid w:val="00B70DE7"/>
    <w:rsid w:val="00B70F34"/>
    <w:rsid w:val="00B70FF6"/>
    <w:rsid w:val="00B71A95"/>
    <w:rsid w:val="00B71CEF"/>
    <w:rsid w:val="00B7217E"/>
    <w:rsid w:val="00B73277"/>
    <w:rsid w:val="00B732A7"/>
    <w:rsid w:val="00B732F5"/>
    <w:rsid w:val="00B73993"/>
    <w:rsid w:val="00B73DBF"/>
    <w:rsid w:val="00B7411E"/>
    <w:rsid w:val="00B743C3"/>
    <w:rsid w:val="00B74A97"/>
    <w:rsid w:val="00B74B39"/>
    <w:rsid w:val="00B74BC4"/>
    <w:rsid w:val="00B7521B"/>
    <w:rsid w:val="00B754E0"/>
    <w:rsid w:val="00B75BF6"/>
    <w:rsid w:val="00B75D1C"/>
    <w:rsid w:val="00B75DF5"/>
    <w:rsid w:val="00B7606D"/>
    <w:rsid w:val="00B761E3"/>
    <w:rsid w:val="00B76272"/>
    <w:rsid w:val="00B7684C"/>
    <w:rsid w:val="00B76B63"/>
    <w:rsid w:val="00B76BA5"/>
    <w:rsid w:val="00B76EF1"/>
    <w:rsid w:val="00B7747B"/>
    <w:rsid w:val="00B8009E"/>
    <w:rsid w:val="00B80758"/>
    <w:rsid w:val="00B8110C"/>
    <w:rsid w:val="00B8184D"/>
    <w:rsid w:val="00B81E47"/>
    <w:rsid w:val="00B8235E"/>
    <w:rsid w:val="00B82895"/>
    <w:rsid w:val="00B82BA3"/>
    <w:rsid w:val="00B82D7D"/>
    <w:rsid w:val="00B83231"/>
    <w:rsid w:val="00B83596"/>
    <w:rsid w:val="00B83B9D"/>
    <w:rsid w:val="00B83CFB"/>
    <w:rsid w:val="00B8404F"/>
    <w:rsid w:val="00B845B0"/>
    <w:rsid w:val="00B84940"/>
    <w:rsid w:val="00B84B00"/>
    <w:rsid w:val="00B8522C"/>
    <w:rsid w:val="00B85301"/>
    <w:rsid w:val="00B85315"/>
    <w:rsid w:val="00B85339"/>
    <w:rsid w:val="00B858CC"/>
    <w:rsid w:val="00B86076"/>
    <w:rsid w:val="00B864A5"/>
    <w:rsid w:val="00B867FE"/>
    <w:rsid w:val="00B86B04"/>
    <w:rsid w:val="00B86B54"/>
    <w:rsid w:val="00B86CB9"/>
    <w:rsid w:val="00B872D2"/>
    <w:rsid w:val="00B87E07"/>
    <w:rsid w:val="00B90447"/>
    <w:rsid w:val="00B91D74"/>
    <w:rsid w:val="00B91DFF"/>
    <w:rsid w:val="00B92171"/>
    <w:rsid w:val="00B9266B"/>
    <w:rsid w:val="00B9290F"/>
    <w:rsid w:val="00B9352B"/>
    <w:rsid w:val="00B939BD"/>
    <w:rsid w:val="00B939C9"/>
    <w:rsid w:val="00B93C7A"/>
    <w:rsid w:val="00B93EA4"/>
    <w:rsid w:val="00B940BE"/>
    <w:rsid w:val="00B94E4D"/>
    <w:rsid w:val="00B95D6C"/>
    <w:rsid w:val="00B964C4"/>
    <w:rsid w:val="00B966B6"/>
    <w:rsid w:val="00B97D16"/>
    <w:rsid w:val="00BA0B03"/>
    <w:rsid w:val="00BA0D39"/>
    <w:rsid w:val="00BA1094"/>
    <w:rsid w:val="00BA11D5"/>
    <w:rsid w:val="00BA13B4"/>
    <w:rsid w:val="00BA19C3"/>
    <w:rsid w:val="00BA1A15"/>
    <w:rsid w:val="00BA26B9"/>
    <w:rsid w:val="00BA28AF"/>
    <w:rsid w:val="00BA2FA1"/>
    <w:rsid w:val="00BA3320"/>
    <w:rsid w:val="00BA3619"/>
    <w:rsid w:val="00BA3C30"/>
    <w:rsid w:val="00BA422D"/>
    <w:rsid w:val="00BA4946"/>
    <w:rsid w:val="00BA4C62"/>
    <w:rsid w:val="00BA5740"/>
    <w:rsid w:val="00BA5955"/>
    <w:rsid w:val="00BA5B0A"/>
    <w:rsid w:val="00BA5E0F"/>
    <w:rsid w:val="00BA5E77"/>
    <w:rsid w:val="00BA5FB9"/>
    <w:rsid w:val="00BA64B5"/>
    <w:rsid w:val="00BA6AC4"/>
    <w:rsid w:val="00BB09B6"/>
    <w:rsid w:val="00BB0C49"/>
    <w:rsid w:val="00BB0DCA"/>
    <w:rsid w:val="00BB12B8"/>
    <w:rsid w:val="00BB1981"/>
    <w:rsid w:val="00BB1C37"/>
    <w:rsid w:val="00BB1E3A"/>
    <w:rsid w:val="00BB23F9"/>
    <w:rsid w:val="00BB2927"/>
    <w:rsid w:val="00BB295A"/>
    <w:rsid w:val="00BB297E"/>
    <w:rsid w:val="00BB3321"/>
    <w:rsid w:val="00BB35DB"/>
    <w:rsid w:val="00BB39D6"/>
    <w:rsid w:val="00BB3E44"/>
    <w:rsid w:val="00BB417D"/>
    <w:rsid w:val="00BB4606"/>
    <w:rsid w:val="00BB49C3"/>
    <w:rsid w:val="00BB4DFF"/>
    <w:rsid w:val="00BB57FE"/>
    <w:rsid w:val="00BB5AFC"/>
    <w:rsid w:val="00BB5D0D"/>
    <w:rsid w:val="00BB5FAF"/>
    <w:rsid w:val="00BB6374"/>
    <w:rsid w:val="00BB6695"/>
    <w:rsid w:val="00BB6A6E"/>
    <w:rsid w:val="00BB6C73"/>
    <w:rsid w:val="00BB7456"/>
    <w:rsid w:val="00BB79FB"/>
    <w:rsid w:val="00BC023A"/>
    <w:rsid w:val="00BC0DCA"/>
    <w:rsid w:val="00BC11C6"/>
    <w:rsid w:val="00BC1365"/>
    <w:rsid w:val="00BC156E"/>
    <w:rsid w:val="00BC1A24"/>
    <w:rsid w:val="00BC2971"/>
    <w:rsid w:val="00BC29C9"/>
    <w:rsid w:val="00BC2CAF"/>
    <w:rsid w:val="00BC3124"/>
    <w:rsid w:val="00BC367B"/>
    <w:rsid w:val="00BC3A95"/>
    <w:rsid w:val="00BC4181"/>
    <w:rsid w:val="00BC4D5E"/>
    <w:rsid w:val="00BC538A"/>
    <w:rsid w:val="00BC5827"/>
    <w:rsid w:val="00BC5A79"/>
    <w:rsid w:val="00BC5A89"/>
    <w:rsid w:val="00BC6006"/>
    <w:rsid w:val="00BC63A4"/>
    <w:rsid w:val="00BC64A6"/>
    <w:rsid w:val="00BC6B53"/>
    <w:rsid w:val="00BC7974"/>
    <w:rsid w:val="00BC7AC1"/>
    <w:rsid w:val="00BC7E08"/>
    <w:rsid w:val="00BC7EAF"/>
    <w:rsid w:val="00BD023A"/>
    <w:rsid w:val="00BD0481"/>
    <w:rsid w:val="00BD07AB"/>
    <w:rsid w:val="00BD0987"/>
    <w:rsid w:val="00BD0C38"/>
    <w:rsid w:val="00BD269C"/>
    <w:rsid w:val="00BD2891"/>
    <w:rsid w:val="00BD2DF7"/>
    <w:rsid w:val="00BD3338"/>
    <w:rsid w:val="00BD3653"/>
    <w:rsid w:val="00BD380D"/>
    <w:rsid w:val="00BD3959"/>
    <w:rsid w:val="00BD4207"/>
    <w:rsid w:val="00BD4585"/>
    <w:rsid w:val="00BD4B38"/>
    <w:rsid w:val="00BD4CC6"/>
    <w:rsid w:val="00BD4E4F"/>
    <w:rsid w:val="00BD51D4"/>
    <w:rsid w:val="00BD52F0"/>
    <w:rsid w:val="00BD564A"/>
    <w:rsid w:val="00BD57D8"/>
    <w:rsid w:val="00BD6007"/>
    <w:rsid w:val="00BD7CA4"/>
    <w:rsid w:val="00BE0435"/>
    <w:rsid w:val="00BE0B4B"/>
    <w:rsid w:val="00BE0C00"/>
    <w:rsid w:val="00BE0C44"/>
    <w:rsid w:val="00BE198F"/>
    <w:rsid w:val="00BE2842"/>
    <w:rsid w:val="00BE29B9"/>
    <w:rsid w:val="00BE2E48"/>
    <w:rsid w:val="00BE38DF"/>
    <w:rsid w:val="00BE3ABA"/>
    <w:rsid w:val="00BE3C85"/>
    <w:rsid w:val="00BE3DB2"/>
    <w:rsid w:val="00BE3F05"/>
    <w:rsid w:val="00BE4D67"/>
    <w:rsid w:val="00BE4E8E"/>
    <w:rsid w:val="00BE51A5"/>
    <w:rsid w:val="00BE68A1"/>
    <w:rsid w:val="00BE68D7"/>
    <w:rsid w:val="00BE6FEE"/>
    <w:rsid w:val="00BE790F"/>
    <w:rsid w:val="00BE7A78"/>
    <w:rsid w:val="00BF017A"/>
    <w:rsid w:val="00BF06CE"/>
    <w:rsid w:val="00BF153A"/>
    <w:rsid w:val="00BF198C"/>
    <w:rsid w:val="00BF1AF6"/>
    <w:rsid w:val="00BF1BEE"/>
    <w:rsid w:val="00BF1C92"/>
    <w:rsid w:val="00BF1F6F"/>
    <w:rsid w:val="00BF27F0"/>
    <w:rsid w:val="00BF2E62"/>
    <w:rsid w:val="00BF2F2F"/>
    <w:rsid w:val="00BF30A9"/>
    <w:rsid w:val="00BF3902"/>
    <w:rsid w:val="00BF447D"/>
    <w:rsid w:val="00BF514D"/>
    <w:rsid w:val="00BF60A7"/>
    <w:rsid w:val="00BF62E9"/>
    <w:rsid w:val="00BF642A"/>
    <w:rsid w:val="00BF648A"/>
    <w:rsid w:val="00BF6578"/>
    <w:rsid w:val="00BF665F"/>
    <w:rsid w:val="00BF6C82"/>
    <w:rsid w:val="00BF6C87"/>
    <w:rsid w:val="00BF74AF"/>
    <w:rsid w:val="00BF7A48"/>
    <w:rsid w:val="00C002BD"/>
    <w:rsid w:val="00C0039F"/>
    <w:rsid w:val="00C0054B"/>
    <w:rsid w:val="00C00AFD"/>
    <w:rsid w:val="00C01307"/>
    <w:rsid w:val="00C01746"/>
    <w:rsid w:val="00C02188"/>
    <w:rsid w:val="00C021FF"/>
    <w:rsid w:val="00C022A7"/>
    <w:rsid w:val="00C026E0"/>
    <w:rsid w:val="00C030AE"/>
    <w:rsid w:val="00C034E9"/>
    <w:rsid w:val="00C03781"/>
    <w:rsid w:val="00C03A22"/>
    <w:rsid w:val="00C04186"/>
    <w:rsid w:val="00C04586"/>
    <w:rsid w:val="00C049F4"/>
    <w:rsid w:val="00C04F29"/>
    <w:rsid w:val="00C0571A"/>
    <w:rsid w:val="00C05A5C"/>
    <w:rsid w:val="00C05B93"/>
    <w:rsid w:val="00C05D51"/>
    <w:rsid w:val="00C0638E"/>
    <w:rsid w:val="00C0666F"/>
    <w:rsid w:val="00C06A77"/>
    <w:rsid w:val="00C06D8F"/>
    <w:rsid w:val="00C06E41"/>
    <w:rsid w:val="00C06FC5"/>
    <w:rsid w:val="00C07412"/>
    <w:rsid w:val="00C07664"/>
    <w:rsid w:val="00C07A14"/>
    <w:rsid w:val="00C07A5B"/>
    <w:rsid w:val="00C10026"/>
    <w:rsid w:val="00C108B8"/>
    <w:rsid w:val="00C11D92"/>
    <w:rsid w:val="00C127E6"/>
    <w:rsid w:val="00C128C8"/>
    <w:rsid w:val="00C129CA"/>
    <w:rsid w:val="00C13079"/>
    <w:rsid w:val="00C13325"/>
    <w:rsid w:val="00C1336B"/>
    <w:rsid w:val="00C1380B"/>
    <w:rsid w:val="00C13A00"/>
    <w:rsid w:val="00C13AA1"/>
    <w:rsid w:val="00C13B19"/>
    <w:rsid w:val="00C13BD5"/>
    <w:rsid w:val="00C13BFB"/>
    <w:rsid w:val="00C13DEC"/>
    <w:rsid w:val="00C13F07"/>
    <w:rsid w:val="00C141D3"/>
    <w:rsid w:val="00C14581"/>
    <w:rsid w:val="00C147C1"/>
    <w:rsid w:val="00C14EA1"/>
    <w:rsid w:val="00C14F74"/>
    <w:rsid w:val="00C1545E"/>
    <w:rsid w:val="00C158EA"/>
    <w:rsid w:val="00C1624C"/>
    <w:rsid w:val="00C1647D"/>
    <w:rsid w:val="00C16642"/>
    <w:rsid w:val="00C169F6"/>
    <w:rsid w:val="00C1736C"/>
    <w:rsid w:val="00C1781C"/>
    <w:rsid w:val="00C178EA"/>
    <w:rsid w:val="00C201FF"/>
    <w:rsid w:val="00C204EC"/>
    <w:rsid w:val="00C21178"/>
    <w:rsid w:val="00C213FC"/>
    <w:rsid w:val="00C217A7"/>
    <w:rsid w:val="00C21D6C"/>
    <w:rsid w:val="00C222E5"/>
    <w:rsid w:val="00C227C4"/>
    <w:rsid w:val="00C22FA1"/>
    <w:rsid w:val="00C2333E"/>
    <w:rsid w:val="00C238F9"/>
    <w:rsid w:val="00C23BAC"/>
    <w:rsid w:val="00C24271"/>
    <w:rsid w:val="00C25216"/>
    <w:rsid w:val="00C25805"/>
    <w:rsid w:val="00C262D9"/>
    <w:rsid w:val="00C26FAB"/>
    <w:rsid w:val="00C279DF"/>
    <w:rsid w:val="00C27BF1"/>
    <w:rsid w:val="00C27C2C"/>
    <w:rsid w:val="00C30963"/>
    <w:rsid w:val="00C30CD8"/>
    <w:rsid w:val="00C31999"/>
    <w:rsid w:val="00C31D61"/>
    <w:rsid w:val="00C3200B"/>
    <w:rsid w:val="00C3239B"/>
    <w:rsid w:val="00C326CE"/>
    <w:rsid w:val="00C32D9F"/>
    <w:rsid w:val="00C32E41"/>
    <w:rsid w:val="00C3310C"/>
    <w:rsid w:val="00C33116"/>
    <w:rsid w:val="00C33688"/>
    <w:rsid w:val="00C33841"/>
    <w:rsid w:val="00C34CFB"/>
    <w:rsid w:val="00C34D81"/>
    <w:rsid w:val="00C35161"/>
    <w:rsid w:val="00C35487"/>
    <w:rsid w:val="00C35985"/>
    <w:rsid w:val="00C35DD2"/>
    <w:rsid w:val="00C3629C"/>
    <w:rsid w:val="00C36441"/>
    <w:rsid w:val="00C36A53"/>
    <w:rsid w:val="00C36B44"/>
    <w:rsid w:val="00C36BB8"/>
    <w:rsid w:val="00C37864"/>
    <w:rsid w:val="00C37CCB"/>
    <w:rsid w:val="00C37EDB"/>
    <w:rsid w:val="00C403A6"/>
    <w:rsid w:val="00C4183C"/>
    <w:rsid w:val="00C41C50"/>
    <w:rsid w:val="00C41D8E"/>
    <w:rsid w:val="00C41E2F"/>
    <w:rsid w:val="00C42869"/>
    <w:rsid w:val="00C4316D"/>
    <w:rsid w:val="00C4369B"/>
    <w:rsid w:val="00C43C9A"/>
    <w:rsid w:val="00C44158"/>
    <w:rsid w:val="00C44448"/>
    <w:rsid w:val="00C4444C"/>
    <w:rsid w:val="00C44537"/>
    <w:rsid w:val="00C446A2"/>
    <w:rsid w:val="00C446BD"/>
    <w:rsid w:val="00C4528E"/>
    <w:rsid w:val="00C45A41"/>
    <w:rsid w:val="00C45B40"/>
    <w:rsid w:val="00C4655B"/>
    <w:rsid w:val="00C46597"/>
    <w:rsid w:val="00C46A7B"/>
    <w:rsid w:val="00C46D84"/>
    <w:rsid w:val="00C46E65"/>
    <w:rsid w:val="00C46F4A"/>
    <w:rsid w:val="00C47B44"/>
    <w:rsid w:val="00C47DAE"/>
    <w:rsid w:val="00C47F06"/>
    <w:rsid w:val="00C50010"/>
    <w:rsid w:val="00C50618"/>
    <w:rsid w:val="00C50A08"/>
    <w:rsid w:val="00C50A2C"/>
    <w:rsid w:val="00C50C84"/>
    <w:rsid w:val="00C50D44"/>
    <w:rsid w:val="00C51221"/>
    <w:rsid w:val="00C5122E"/>
    <w:rsid w:val="00C51307"/>
    <w:rsid w:val="00C51AC3"/>
    <w:rsid w:val="00C51F2F"/>
    <w:rsid w:val="00C51F76"/>
    <w:rsid w:val="00C52908"/>
    <w:rsid w:val="00C5340C"/>
    <w:rsid w:val="00C5373E"/>
    <w:rsid w:val="00C54503"/>
    <w:rsid w:val="00C54807"/>
    <w:rsid w:val="00C5548A"/>
    <w:rsid w:val="00C55A7B"/>
    <w:rsid w:val="00C55F97"/>
    <w:rsid w:val="00C56130"/>
    <w:rsid w:val="00C5616B"/>
    <w:rsid w:val="00C5660C"/>
    <w:rsid w:val="00C5676B"/>
    <w:rsid w:val="00C567A9"/>
    <w:rsid w:val="00C56FCE"/>
    <w:rsid w:val="00C576EF"/>
    <w:rsid w:val="00C57839"/>
    <w:rsid w:val="00C5791F"/>
    <w:rsid w:val="00C57E11"/>
    <w:rsid w:val="00C61484"/>
    <w:rsid w:val="00C620EE"/>
    <w:rsid w:val="00C623AA"/>
    <w:rsid w:val="00C6269D"/>
    <w:rsid w:val="00C626E4"/>
    <w:rsid w:val="00C63A6C"/>
    <w:rsid w:val="00C64118"/>
    <w:rsid w:val="00C643DB"/>
    <w:rsid w:val="00C644DA"/>
    <w:rsid w:val="00C646AB"/>
    <w:rsid w:val="00C64987"/>
    <w:rsid w:val="00C650DC"/>
    <w:rsid w:val="00C65288"/>
    <w:rsid w:val="00C65305"/>
    <w:rsid w:val="00C656CC"/>
    <w:rsid w:val="00C656F7"/>
    <w:rsid w:val="00C657E6"/>
    <w:rsid w:val="00C65B5B"/>
    <w:rsid w:val="00C65BEF"/>
    <w:rsid w:val="00C66346"/>
    <w:rsid w:val="00C6676E"/>
    <w:rsid w:val="00C66DD3"/>
    <w:rsid w:val="00C673E6"/>
    <w:rsid w:val="00C673F7"/>
    <w:rsid w:val="00C67738"/>
    <w:rsid w:val="00C710A9"/>
    <w:rsid w:val="00C71F80"/>
    <w:rsid w:val="00C72C5C"/>
    <w:rsid w:val="00C736D0"/>
    <w:rsid w:val="00C74011"/>
    <w:rsid w:val="00C7415F"/>
    <w:rsid w:val="00C7423F"/>
    <w:rsid w:val="00C753BC"/>
    <w:rsid w:val="00C7677A"/>
    <w:rsid w:val="00C770FA"/>
    <w:rsid w:val="00C7724A"/>
    <w:rsid w:val="00C7780D"/>
    <w:rsid w:val="00C80A22"/>
    <w:rsid w:val="00C81194"/>
    <w:rsid w:val="00C81D07"/>
    <w:rsid w:val="00C82144"/>
    <w:rsid w:val="00C82761"/>
    <w:rsid w:val="00C82D3F"/>
    <w:rsid w:val="00C831F3"/>
    <w:rsid w:val="00C8369D"/>
    <w:rsid w:val="00C836F5"/>
    <w:rsid w:val="00C83C16"/>
    <w:rsid w:val="00C84509"/>
    <w:rsid w:val="00C84808"/>
    <w:rsid w:val="00C84813"/>
    <w:rsid w:val="00C84B17"/>
    <w:rsid w:val="00C84BC2"/>
    <w:rsid w:val="00C850D7"/>
    <w:rsid w:val="00C8515F"/>
    <w:rsid w:val="00C8549D"/>
    <w:rsid w:val="00C85C54"/>
    <w:rsid w:val="00C85E20"/>
    <w:rsid w:val="00C86074"/>
    <w:rsid w:val="00C8668C"/>
    <w:rsid w:val="00C86B27"/>
    <w:rsid w:val="00C87168"/>
    <w:rsid w:val="00C8795B"/>
    <w:rsid w:val="00C87AE2"/>
    <w:rsid w:val="00C903D7"/>
    <w:rsid w:val="00C9080E"/>
    <w:rsid w:val="00C908F2"/>
    <w:rsid w:val="00C90C67"/>
    <w:rsid w:val="00C90D22"/>
    <w:rsid w:val="00C90E08"/>
    <w:rsid w:val="00C92515"/>
    <w:rsid w:val="00C92768"/>
    <w:rsid w:val="00C927D4"/>
    <w:rsid w:val="00C92F55"/>
    <w:rsid w:val="00C92F89"/>
    <w:rsid w:val="00C936C1"/>
    <w:rsid w:val="00C936F6"/>
    <w:rsid w:val="00C93A77"/>
    <w:rsid w:val="00C94647"/>
    <w:rsid w:val="00C94ABF"/>
    <w:rsid w:val="00C94CD6"/>
    <w:rsid w:val="00C9525B"/>
    <w:rsid w:val="00C9570E"/>
    <w:rsid w:val="00C95A4F"/>
    <w:rsid w:val="00C95EAB"/>
    <w:rsid w:val="00C9676D"/>
    <w:rsid w:val="00C96BD4"/>
    <w:rsid w:val="00C978F5"/>
    <w:rsid w:val="00C97DC7"/>
    <w:rsid w:val="00C97EBF"/>
    <w:rsid w:val="00CA014C"/>
    <w:rsid w:val="00CA0730"/>
    <w:rsid w:val="00CA08A8"/>
    <w:rsid w:val="00CA156D"/>
    <w:rsid w:val="00CA1DFD"/>
    <w:rsid w:val="00CA1E60"/>
    <w:rsid w:val="00CA26FE"/>
    <w:rsid w:val="00CA293C"/>
    <w:rsid w:val="00CA2C4F"/>
    <w:rsid w:val="00CA46F3"/>
    <w:rsid w:val="00CA4908"/>
    <w:rsid w:val="00CA49DF"/>
    <w:rsid w:val="00CA4E68"/>
    <w:rsid w:val="00CA5272"/>
    <w:rsid w:val="00CA52CF"/>
    <w:rsid w:val="00CA5323"/>
    <w:rsid w:val="00CA588D"/>
    <w:rsid w:val="00CA5A8F"/>
    <w:rsid w:val="00CA5AAE"/>
    <w:rsid w:val="00CA5B95"/>
    <w:rsid w:val="00CA61A0"/>
    <w:rsid w:val="00CA6285"/>
    <w:rsid w:val="00CA67C8"/>
    <w:rsid w:val="00CA697C"/>
    <w:rsid w:val="00CA6C5F"/>
    <w:rsid w:val="00CA721C"/>
    <w:rsid w:val="00CA770F"/>
    <w:rsid w:val="00CA7737"/>
    <w:rsid w:val="00CB0157"/>
    <w:rsid w:val="00CB01C0"/>
    <w:rsid w:val="00CB0EF0"/>
    <w:rsid w:val="00CB1081"/>
    <w:rsid w:val="00CB1741"/>
    <w:rsid w:val="00CB177C"/>
    <w:rsid w:val="00CB1A29"/>
    <w:rsid w:val="00CB1E00"/>
    <w:rsid w:val="00CB20F8"/>
    <w:rsid w:val="00CB2311"/>
    <w:rsid w:val="00CB253A"/>
    <w:rsid w:val="00CB2865"/>
    <w:rsid w:val="00CB2AC5"/>
    <w:rsid w:val="00CB33BF"/>
    <w:rsid w:val="00CB37D4"/>
    <w:rsid w:val="00CB3AEA"/>
    <w:rsid w:val="00CB3CC1"/>
    <w:rsid w:val="00CB3CE6"/>
    <w:rsid w:val="00CB4043"/>
    <w:rsid w:val="00CB4149"/>
    <w:rsid w:val="00CB41C8"/>
    <w:rsid w:val="00CB4335"/>
    <w:rsid w:val="00CB46A4"/>
    <w:rsid w:val="00CB5255"/>
    <w:rsid w:val="00CB568C"/>
    <w:rsid w:val="00CB587A"/>
    <w:rsid w:val="00CB5A27"/>
    <w:rsid w:val="00CB5DCD"/>
    <w:rsid w:val="00CB5E5A"/>
    <w:rsid w:val="00CB5F52"/>
    <w:rsid w:val="00CB6418"/>
    <w:rsid w:val="00CB6505"/>
    <w:rsid w:val="00CB650D"/>
    <w:rsid w:val="00CB65A9"/>
    <w:rsid w:val="00CB673C"/>
    <w:rsid w:val="00CB6BB2"/>
    <w:rsid w:val="00CB7575"/>
    <w:rsid w:val="00CB7BDF"/>
    <w:rsid w:val="00CB7E94"/>
    <w:rsid w:val="00CC0478"/>
    <w:rsid w:val="00CC062B"/>
    <w:rsid w:val="00CC088C"/>
    <w:rsid w:val="00CC098F"/>
    <w:rsid w:val="00CC1091"/>
    <w:rsid w:val="00CC16DD"/>
    <w:rsid w:val="00CC187D"/>
    <w:rsid w:val="00CC1E26"/>
    <w:rsid w:val="00CC1E97"/>
    <w:rsid w:val="00CC20F8"/>
    <w:rsid w:val="00CC28B2"/>
    <w:rsid w:val="00CC30AE"/>
    <w:rsid w:val="00CC35E7"/>
    <w:rsid w:val="00CC387C"/>
    <w:rsid w:val="00CC3A25"/>
    <w:rsid w:val="00CC3C61"/>
    <w:rsid w:val="00CC3C8B"/>
    <w:rsid w:val="00CC3E6E"/>
    <w:rsid w:val="00CC40BA"/>
    <w:rsid w:val="00CC40FC"/>
    <w:rsid w:val="00CC44A3"/>
    <w:rsid w:val="00CC47C3"/>
    <w:rsid w:val="00CC49B6"/>
    <w:rsid w:val="00CC4B25"/>
    <w:rsid w:val="00CC4D39"/>
    <w:rsid w:val="00CC4FC5"/>
    <w:rsid w:val="00CC50E3"/>
    <w:rsid w:val="00CC516F"/>
    <w:rsid w:val="00CC52C2"/>
    <w:rsid w:val="00CC54C9"/>
    <w:rsid w:val="00CC5931"/>
    <w:rsid w:val="00CC5B78"/>
    <w:rsid w:val="00CC6157"/>
    <w:rsid w:val="00CC6213"/>
    <w:rsid w:val="00CC633A"/>
    <w:rsid w:val="00CC6AEC"/>
    <w:rsid w:val="00CC6C82"/>
    <w:rsid w:val="00CC71E8"/>
    <w:rsid w:val="00CC7471"/>
    <w:rsid w:val="00CD09D7"/>
    <w:rsid w:val="00CD0C5C"/>
    <w:rsid w:val="00CD106D"/>
    <w:rsid w:val="00CD1108"/>
    <w:rsid w:val="00CD113C"/>
    <w:rsid w:val="00CD14B2"/>
    <w:rsid w:val="00CD2DA1"/>
    <w:rsid w:val="00CD2F57"/>
    <w:rsid w:val="00CD378E"/>
    <w:rsid w:val="00CD3A61"/>
    <w:rsid w:val="00CD3B99"/>
    <w:rsid w:val="00CD3D97"/>
    <w:rsid w:val="00CD4015"/>
    <w:rsid w:val="00CD47E8"/>
    <w:rsid w:val="00CD4E1C"/>
    <w:rsid w:val="00CD52B5"/>
    <w:rsid w:val="00CD593E"/>
    <w:rsid w:val="00CD5D96"/>
    <w:rsid w:val="00CD6284"/>
    <w:rsid w:val="00CD633E"/>
    <w:rsid w:val="00CD65F7"/>
    <w:rsid w:val="00CD7F0C"/>
    <w:rsid w:val="00CE06B6"/>
    <w:rsid w:val="00CE0731"/>
    <w:rsid w:val="00CE0B4D"/>
    <w:rsid w:val="00CE0CAA"/>
    <w:rsid w:val="00CE18DE"/>
    <w:rsid w:val="00CE22EE"/>
    <w:rsid w:val="00CE261D"/>
    <w:rsid w:val="00CE2DE2"/>
    <w:rsid w:val="00CE46E5"/>
    <w:rsid w:val="00CE4BF4"/>
    <w:rsid w:val="00CE52CC"/>
    <w:rsid w:val="00CE5B50"/>
    <w:rsid w:val="00CE5C06"/>
    <w:rsid w:val="00CE5EE9"/>
    <w:rsid w:val="00CE62C5"/>
    <w:rsid w:val="00CE63F4"/>
    <w:rsid w:val="00CE6425"/>
    <w:rsid w:val="00CE6654"/>
    <w:rsid w:val="00CE72AF"/>
    <w:rsid w:val="00CE7AFA"/>
    <w:rsid w:val="00CE7B24"/>
    <w:rsid w:val="00CF02DE"/>
    <w:rsid w:val="00CF0737"/>
    <w:rsid w:val="00CF07EF"/>
    <w:rsid w:val="00CF094E"/>
    <w:rsid w:val="00CF0A4C"/>
    <w:rsid w:val="00CF1215"/>
    <w:rsid w:val="00CF16F3"/>
    <w:rsid w:val="00CF1A60"/>
    <w:rsid w:val="00CF1B73"/>
    <w:rsid w:val="00CF1E56"/>
    <w:rsid w:val="00CF201C"/>
    <w:rsid w:val="00CF2456"/>
    <w:rsid w:val="00CF2A25"/>
    <w:rsid w:val="00CF2A53"/>
    <w:rsid w:val="00CF2C2F"/>
    <w:rsid w:val="00CF2E01"/>
    <w:rsid w:val="00CF3AF2"/>
    <w:rsid w:val="00CF3D1A"/>
    <w:rsid w:val="00CF3DD7"/>
    <w:rsid w:val="00CF4245"/>
    <w:rsid w:val="00CF425E"/>
    <w:rsid w:val="00CF457E"/>
    <w:rsid w:val="00CF4BB5"/>
    <w:rsid w:val="00CF4D64"/>
    <w:rsid w:val="00CF51C7"/>
    <w:rsid w:val="00CF5847"/>
    <w:rsid w:val="00CF5A90"/>
    <w:rsid w:val="00CF5D54"/>
    <w:rsid w:val="00CF604E"/>
    <w:rsid w:val="00CF6186"/>
    <w:rsid w:val="00CF6AC9"/>
    <w:rsid w:val="00CF6F34"/>
    <w:rsid w:val="00CF76D4"/>
    <w:rsid w:val="00CF7830"/>
    <w:rsid w:val="00D002FE"/>
    <w:rsid w:val="00D0042E"/>
    <w:rsid w:val="00D00740"/>
    <w:rsid w:val="00D00745"/>
    <w:rsid w:val="00D00A68"/>
    <w:rsid w:val="00D011E4"/>
    <w:rsid w:val="00D0143C"/>
    <w:rsid w:val="00D014F6"/>
    <w:rsid w:val="00D01898"/>
    <w:rsid w:val="00D0199F"/>
    <w:rsid w:val="00D01CB8"/>
    <w:rsid w:val="00D0286F"/>
    <w:rsid w:val="00D03432"/>
    <w:rsid w:val="00D03761"/>
    <w:rsid w:val="00D04273"/>
    <w:rsid w:val="00D044FA"/>
    <w:rsid w:val="00D04730"/>
    <w:rsid w:val="00D04734"/>
    <w:rsid w:val="00D0480A"/>
    <w:rsid w:val="00D04DC8"/>
    <w:rsid w:val="00D05089"/>
    <w:rsid w:val="00D050E7"/>
    <w:rsid w:val="00D05692"/>
    <w:rsid w:val="00D058C7"/>
    <w:rsid w:val="00D05E1C"/>
    <w:rsid w:val="00D0604C"/>
    <w:rsid w:val="00D065BF"/>
    <w:rsid w:val="00D065F6"/>
    <w:rsid w:val="00D06F22"/>
    <w:rsid w:val="00D071BF"/>
    <w:rsid w:val="00D075B3"/>
    <w:rsid w:val="00D076AB"/>
    <w:rsid w:val="00D0774C"/>
    <w:rsid w:val="00D07F93"/>
    <w:rsid w:val="00D10B97"/>
    <w:rsid w:val="00D11B01"/>
    <w:rsid w:val="00D11E16"/>
    <w:rsid w:val="00D12121"/>
    <w:rsid w:val="00D1220D"/>
    <w:rsid w:val="00D122DB"/>
    <w:rsid w:val="00D12494"/>
    <w:rsid w:val="00D1285B"/>
    <w:rsid w:val="00D12905"/>
    <w:rsid w:val="00D12929"/>
    <w:rsid w:val="00D12AFA"/>
    <w:rsid w:val="00D13B02"/>
    <w:rsid w:val="00D1541E"/>
    <w:rsid w:val="00D165D0"/>
    <w:rsid w:val="00D1672B"/>
    <w:rsid w:val="00D170AC"/>
    <w:rsid w:val="00D17DAB"/>
    <w:rsid w:val="00D20A87"/>
    <w:rsid w:val="00D21CA5"/>
    <w:rsid w:val="00D22411"/>
    <w:rsid w:val="00D227E2"/>
    <w:rsid w:val="00D22D21"/>
    <w:rsid w:val="00D23346"/>
    <w:rsid w:val="00D2375B"/>
    <w:rsid w:val="00D23AF2"/>
    <w:rsid w:val="00D24542"/>
    <w:rsid w:val="00D24712"/>
    <w:rsid w:val="00D248B4"/>
    <w:rsid w:val="00D263FD"/>
    <w:rsid w:val="00D26418"/>
    <w:rsid w:val="00D26444"/>
    <w:rsid w:val="00D267E0"/>
    <w:rsid w:val="00D26AE3"/>
    <w:rsid w:val="00D2713B"/>
    <w:rsid w:val="00D2718A"/>
    <w:rsid w:val="00D2756F"/>
    <w:rsid w:val="00D27581"/>
    <w:rsid w:val="00D2764C"/>
    <w:rsid w:val="00D277BB"/>
    <w:rsid w:val="00D27A60"/>
    <w:rsid w:val="00D27E6A"/>
    <w:rsid w:val="00D27FCA"/>
    <w:rsid w:val="00D3007B"/>
    <w:rsid w:val="00D3071E"/>
    <w:rsid w:val="00D3127A"/>
    <w:rsid w:val="00D314BE"/>
    <w:rsid w:val="00D314EC"/>
    <w:rsid w:val="00D31AEF"/>
    <w:rsid w:val="00D31B52"/>
    <w:rsid w:val="00D32017"/>
    <w:rsid w:val="00D32A37"/>
    <w:rsid w:val="00D331CE"/>
    <w:rsid w:val="00D332EF"/>
    <w:rsid w:val="00D3371C"/>
    <w:rsid w:val="00D337BA"/>
    <w:rsid w:val="00D339C3"/>
    <w:rsid w:val="00D33D1F"/>
    <w:rsid w:val="00D3485B"/>
    <w:rsid w:val="00D348F8"/>
    <w:rsid w:val="00D35A19"/>
    <w:rsid w:val="00D35A38"/>
    <w:rsid w:val="00D360AA"/>
    <w:rsid w:val="00D377C8"/>
    <w:rsid w:val="00D379FB"/>
    <w:rsid w:val="00D404B8"/>
    <w:rsid w:val="00D404DD"/>
    <w:rsid w:val="00D411FA"/>
    <w:rsid w:val="00D4158C"/>
    <w:rsid w:val="00D41E17"/>
    <w:rsid w:val="00D41EA8"/>
    <w:rsid w:val="00D42E2A"/>
    <w:rsid w:val="00D42E50"/>
    <w:rsid w:val="00D42EDB"/>
    <w:rsid w:val="00D431E4"/>
    <w:rsid w:val="00D43317"/>
    <w:rsid w:val="00D4344F"/>
    <w:rsid w:val="00D43AFB"/>
    <w:rsid w:val="00D44237"/>
    <w:rsid w:val="00D44651"/>
    <w:rsid w:val="00D44704"/>
    <w:rsid w:val="00D44821"/>
    <w:rsid w:val="00D44A4C"/>
    <w:rsid w:val="00D4528D"/>
    <w:rsid w:val="00D45864"/>
    <w:rsid w:val="00D45FEA"/>
    <w:rsid w:val="00D46169"/>
    <w:rsid w:val="00D47146"/>
    <w:rsid w:val="00D475E2"/>
    <w:rsid w:val="00D478E2"/>
    <w:rsid w:val="00D47BCD"/>
    <w:rsid w:val="00D5026E"/>
    <w:rsid w:val="00D5038B"/>
    <w:rsid w:val="00D503C0"/>
    <w:rsid w:val="00D504CD"/>
    <w:rsid w:val="00D5052A"/>
    <w:rsid w:val="00D507D1"/>
    <w:rsid w:val="00D50A2F"/>
    <w:rsid w:val="00D50AB6"/>
    <w:rsid w:val="00D515A6"/>
    <w:rsid w:val="00D5203E"/>
    <w:rsid w:val="00D52AF1"/>
    <w:rsid w:val="00D52CC1"/>
    <w:rsid w:val="00D52F2B"/>
    <w:rsid w:val="00D5316E"/>
    <w:rsid w:val="00D53620"/>
    <w:rsid w:val="00D5382B"/>
    <w:rsid w:val="00D53940"/>
    <w:rsid w:val="00D53D11"/>
    <w:rsid w:val="00D53E92"/>
    <w:rsid w:val="00D542C0"/>
    <w:rsid w:val="00D54932"/>
    <w:rsid w:val="00D55329"/>
    <w:rsid w:val="00D555D7"/>
    <w:rsid w:val="00D55BBB"/>
    <w:rsid w:val="00D5659B"/>
    <w:rsid w:val="00D568A1"/>
    <w:rsid w:val="00D5695F"/>
    <w:rsid w:val="00D57601"/>
    <w:rsid w:val="00D57BE2"/>
    <w:rsid w:val="00D57CE6"/>
    <w:rsid w:val="00D6020F"/>
    <w:rsid w:val="00D605D1"/>
    <w:rsid w:val="00D6120A"/>
    <w:rsid w:val="00D612C0"/>
    <w:rsid w:val="00D61469"/>
    <w:rsid w:val="00D61707"/>
    <w:rsid w:val="00D61DED"/>
    <w:rsid w:val="00D62A2E"/>
    <w:rsid w:val="00D63B18"/>
    <w:rsid w:val="00D645A3"/>
    <w:rsid w:val="00D648FC"/>
    <w:rsid w:val="00D65591"/>
    <w:rsid w:val="00D655FF"/>
    <w:rsid w:val="00D65AAB"/>
    <w:rsid w:val="00D65AEC"/>
    <w:rsid w:val="00D65F87"/>
    <w:rsid w:val="00D66C13"/>
    <w:rsid w:val="00D6706D"/>
    <w:rsid w:val="00D67363"/>
    <w:rsid w:val="00D67C44"/>
    <w:rsid w:val="00D70233"/>
    <w:rsid w:val="00D704C5"/>
    <w:rsid w:val="00D704F8"/>
    <w:rsid w:val="00D70C06"/>
    <w:rsid w:val="00D7110C"/>
    <w:rsid w:val="00D71914"/>
    <w:rsid w:val="00D71B63"/>
    <w:rsid w:val="00D720A1"/>
    <w:rsid w:val="00D72667"/>
    <w:rsid w:val="00D7268C"/>
    <w:rsid w:val="00D7272D"/>
    <w:rsid w:val="00D72ECB"/>
    <w:rsid w:val="00D730B3"/>
    <w:rsid w:val="00D73235"/>
    <w:rsid w:val="00D7385C"/>
    <w:rsid w:val="00D73873"/>
    <w:rsid w:val="00D73BE6"/>
    <w:rsid w:val="00D73CD4"/>
    <w:rsid w:val="00D743E5"/>
    <w:rsid w:val="00D749EC"/>
    <w:rsid w:val="00D74B93"/>
    <w:rsid w:val="00D75118"/>
    <w:rsid w:val="00D751D2"/>
    <w:rsid w:val="00D75894"/>
    <w:rsid w:val="00D75AAE"/>
    <w:rsid w:val="00D75F0C"/>
    <w:rsid w:val="00D7625A"/>
    <w:rsid w:val="00D762DA"/>
    <w:rsid w:val="00D76493"/>
    <w:rsid w:val="00D768DD"/>
    <w:rsid w:val="00D76C85"/>
    <w:rsid w:val="00D771AB"/>
    <w:rsid w:val="00D801FE"/>
    <w:rsid w:val="00D8028E"/>
    <w:rsid w:val="00D80515"/>
    <w:rsid w:val="00D8089C"/>
    <w:rsid w:val="00D80C35"/>
    <w:rsid w:val="00D81486"/>
    <w:rsid w:val="00D815DD"/>
    <w:rsid w:val="00D81635"/>
    <w:rsid w:val="00D817E3"/>
    <w:rsid w:val="00D8187C"/>
    <w:rsid w:val="00D81C16"/>
    <w:rsid w:val="00D81C55"/>
    <w:rsid w:val="00D824DC"/>
    <w:rsid w:val="00D8252E"/>
    <w:rsid w:val="00D827F6"/>
    <w:rsid w:val="00D828C8"/>
    <w:rsid w:val="00D82D89"/>
    <w:rsid w:val="00D83008"/>
    <w:rsid w:val="00D830C5"/>
    <w:rsid w:val="00D8399C"/>
    <w:rsid w:val="00D83A29"/>
    <w:rsid w:val="00D83D2B"/>
    <w:rsid w:val="00D843E2"/>
    <w:rsid w:val="00D8474D"/>
    <w:rsid w:val="00D84F91"/>
    <w:rsid w:val="00D8502D"/>
    <w:rsid w:val="00D8565D"/>
    <w:rsid w:val="00D859E1"/>
    <w:rsid w:val="00D86327"/>
    <w:rsid w:val="00D865D4"/>
    <w:rsid w:val="00D8665C"/>
    <w:rsid w:val="00D869EE"/>
    <w:rsid w:val="00D86AA7"/>
    <w:rsid w:val="00D86EA9"/>
    <w:rsid w:val="00D86F5D"/>
    <w:rsid w:val="00D871CA"/>
    <w:rsid w:val="00D87B76"/>
    <w:rsid w:val="00D87C42"/>
    <w:rsid w:val="00D87E54"/>
    <w:rsid w:val="00D90A1B"/>
    <w:rsid w:val="00D90CFC"/>
    <w:rsid w:val="00D918C5"/>
    <w:rsid w:val="00D91945"/>
    <w:rsid w:val="00D91AA9"/>
    <w:rsid w:val="00D9238B"/>
    <w:rsid w:val="00D92450"/>
    <w:rsid w:val="00D92B38"/>
    <w:rsid w:val="00D92C53"/>
    <w:rsid w:val="00D92EE3"/>
    <w:rsid w:val="00D92FE1"/>
    <w:rsid w:val="00D935BA"/>
    <w:rsid w:val="00D94381"/>
    <w:rsid w:val="00D94691"/>
    <w:rsid w:val="00D94924"/>
    <w:rsid w:val="00D955EC"/>
    <w:rsid w:val="00D95DE6"/>
    <w:rsid w:val="00D969D3"/>
    <w:rsid w:val="00D971B2"/>
    <w:rsid w:val="00D973F7"/>
    <w:rsid w:val="00D97A7C"/>
    <w:rsid w:val="00DA050B"/>
    <w:rsid w:val="00DA055E"/>
    <w:rsid w:val="00DA0DB8"/>
    <w:rsid w:val="00DA19B1"/>
    <w:rsid w:val="00DA1CDC"/>
    <w:rsid w:val="00DA1E73"/>
    <w:rsid w:val="00DA1F29"/>
    <w:rsid w:val="00DA203F"/>
    <w:rsid w:val="00DA281E"/>
    <w:rsid w:val="00DA2A9F"/>
    <w:rsid w:val="00DA2ABE"/>
    <w:rsid w:val="00DA368C"/>
    <w:rsid w:val="00DA3C15"/>
    <w:rsid w:val="00DA3FF4"/>
    <w:rsid w:val="00DA40E2"/>
    <w:rsid w:val="00DA419E"/>
    <w:rsid w:val="00DA422B"/>
    <w:rsid w:val="00DA4232"/>
    <w:rsid w:val="00DA44AF"/>
    <w:rsid w:val="00DA497F"/>
    <w:rsid w:val="00DA4AA8"/>
    <w:rsid w:val="00DA4B9C"/>
    <w:rsid w:val="00DA4CE2"/>
    <w:rsid w:val="00DA4EEB"/>
    <w:rsid w:val="00DA5231"/>
    <w:rsid w:val="00DA5527"/>
    <w:rsid w:val="00DA5C7A"/>
    <w:rsid w:val="00DA7257"/>
    <w:rsid w:val="00DA7340"/>
    <w:rsid w:val="00DA752E"/>
    <w:rsid w:val="00DA7D46"/>
    <w:rsid w:val="00DB00EC"/>
    <w:rsid w:val="00DB01B4"/>
    <w:rsid w:val="00DB0347"/>
    <w:rsid w:val="00DB0651"/>
    <w:rsid w:val="00DB06DA"/>
    <w:rsid w:val="00DB09BE"/>
    <w:rsid w:val="00DB0BA7"/>
    <w:rsid w:val="00DB10FB"/>
    <w:rsid w:val="00DB12F1"/>
    <w:rsid w:val="00DB1398"/>
    <w:rsid w:val="00DB1661"/>
    <w:rsid w:val="00DB192B"/>
    <w:rsid w:val="00DB1EA7"/>
    <w:rsid w:val="00DB1F2E"/>
    <w:rsid w:val="00DB212C"/>
    <w:rsid w:val="00DB2C6C"/>
    <w:rsid w:val="00DB3007"/>
    <w:rsid w:val="00DB3D61"/>
    <w:rsid w:val="00DB4041"/>
    <w:rsid w:val="00DB43BB"/>
    <w:rsid w:val="00DB47A7"/>
    <w:rsid w:val="00DB4888"/>
    <w:rsid w:val="00DB4E81"/>
    <w:rsid w:val="00DB4ED0"/>
    <w:rsid w:val="00DB51E5"/>
    <w:rsid w:val="00DB56BC"/>
    <w:rsid w:val="00DB572E"/>
    <w:rsid w:val="00DB5AEA"/>
    <w:rsid w:val="00DB5B00"/>
    <w:rsid w:val="00DB6A45"/>
    <w:rsid w:val="00DB6BA2"/>
    <w:rsid w:val="00DB6F5C"/>
    <w:rsid w:val="00DB727E"/>
    <w:rsid w:val="00DB793F"/>
    <w:rsid w:val="00DB7F00"/>
    <w:rsid w:val="00DB7F02"/>
    <w:rsid w:val="00DC04F0"/>
    <w:rsid w:val="00DC0D2E"/>
    <w:rsid w:val="00DC0E98"/>
    <w:rsid w:val="00DC1595"/>
    <w:rsid w:val="00DC16C7"/>
    <w:rsid w:val="00DC2126"/>
    <w:rsid w:val="00DC2473"/>
    <w:rsid w:val="00DC284B"/>
    <w:rsid w:val="00DC29C1"/>
    <w:rsid w:val="00DC29D9"/>
    <w:rsid w:val="00DC2B3F"/>
    <w:rsid w:val="00DC2FB9"/>
    <w:rsid w:val="00DC31EB"/>
    <w:rsid w:val="00DC32EF"/>
    <w:rsid w:val="00DC330E"/>
    <w:rsid w:val="00DC37C7"/>
    <w:rsid w:val="00DC46C4"/>
    <w:rsid w:val="00DC47CA"/>
    <w:rsid w:val="00DC4BCB"/>
    <w:rsid w:val="00DC5630"/>
    <w:rsid w:val="00DC65E0"/>
    <w:rsid w:val="00DC6DC1"/>
    <w:rsid w:val="00DC7A9A"/>
    <w:rsid w:val="00DC7FB3"/>
    <w:rsid w:val="00DD0872"/>
    <w:rsid w:val="00DD098B"/>
    <w:rsid w:val="00DD118E"/>
    <w:rsid w:val="00DD13D6"/>
    <w:rsid w:val="00DD19BE"/>
    <w:rsid w:val="00DD1A7B"/>
    <w:rsid w:val="00DD2224"/>
    <w:rsid w:val="00DD2A0C"/>
    <w:rsid w:val="00DD2E14"/>
    <w:rsid w:val="00DD39A6"/>
    <w:rsid w:val="00DD3CAF"/>
    <w:rsid w:val="00DD472B"/>
    <w:rsid w:val="00DD4B4C"/>
    <w:rsid w:val="00DD51C5"/>
    <w:rsid w:val="00DD5331"/>
    <w:rsid w:val="00DD62B5"/>
    <w:rsid w:val="00DD62F6"/>
    <w:rsid w:val="00DD66B9"/>
    <w:rsid w:val="00DD67DC"/>
    <w:rsid w:val="00DD67DD"/>
    <w:rsid w:val="00DD6EFE"/>
    <w:rsid w:val="00DD72F6"/>
    <w:rsid w:val="00DD74DA"/>
    <w:rsid w:val="00DD7AF8"/>
    <w:rsid w:val="00DD7B3C"/>
    <w:rsid w:val="00DE0754"/>
    <w:rsid w:val="00DE1C70"/>
    <w:rsid w:val="00DE2EB6"/>
    <w:rsid w:val="00DE3575"/>
    <w:rsid w:val="00DE3ABC"/>
    <w:rsid w:val="00DE3D7A"/>
    <w:rsid w:val="00DE3EF4"/>
    <w:rsid w:val="00DE4139"/>
    <w:rsid w:val="00DE427A"/>
    <w:rsid w:val="00DE4354"/>
    <w:rsid w:val="00DE45B6"/>
    <w:rsid w:val="00DE4D6E"/>
    <w:rsid w:val="00DE4DB3"/>
    <w:rsid w:val="00DE5134"/>
    <w:rsid w:val="00DE5572"/>
    <w:rsid w:val="00DE57BF"/>
    <w:rsid w:val="00DE5B6A"/>
    <w:rsid w:val="00DE5CC6"/>
    <w:rsid w:val="00DE5E0E"/>
    <w:rsid w:val="00DE6793"/>
    <w:rsid w:val="00DE6832"/>
    <w:rsid w:val="00DE6FB0"/>
    <w:rsid w:val="00DE6FB9"/>
    <w:rsid w:val="00DE6FF3"/>
    <w:rsid w:val="00DE71D8"/>
    <w:rsid w:val="00DE776F"/>
    <w:rsid w:val="00DE78FE"/>
    <w:rsid w:val="00DE7BB0"/>
    <w:rsid w:val="00DE7E8E"/>
    <w:rsid w:val="00DF0370"/>
    <w:rsid w:val="00DF046E"/>
    <w:rsid w:val="00DF0608"/>
    <w:rsid w:val="00DF089C"/>
    <w:rsid w:val="00DF08DD"/>
    <w:rsid w:val="00DF0ABD"/>
    <w:rsid w:val="00DF11B8"/>
    <w:rsid w:val="00DF13CF"/>
    <w:rsid w:val="00DF154B"/>
    <w:rsid w:val="00DF1A0A"/>
    <w:rsid w:val="00DF1E02"/>
    <w:rsid w:val="00DF2296"/>
    <w:rsid w:val="00DF237E"/>
    <w:rsid w:val="00DF241A"/>
    <w:rsid w:val="00DF26A2"/>
    <w:rsid w:val="00DF29D5"/>
    <w:rsid w:val="00DF300E"/>
    <w:rsid w:val="00DF3204"/>
    <w:rsid w:val="00DF337A"/>
    <w:rsid w:val="00DF35B9"/>
    <w:rsid w:val="00DF37A3"/>
    <w:rsid w:val="00DF37CE"/>
    <w:rsid w:val="00DF38EF"/>
    <w:rsid w:val="00DF43DF"/>
    <w:rsid w:val="00DF55E2"/>
    <w:rsid w:val="00DF5665"/>
    <w:rsid w:val="00DF70C6"/>
    <w:rsid w:val="00DF70CB"/>
    <w:rsid w:val="00DF73CF"/>
    <w:rsid w:val="00DF7537"/>
    <w:rsid w:val="00DF794B"/>
    <w:rsid w:val="00DF7C8C"/>
    <w:rsid w:val="00DF7F59"/>
    <w:rsid w:val="00E00ACB"/>
    <w:rsid w:val="00E01355"/>
    <w:rsid w:val="00E01978"/>
    <w:rsid w:val="00E01AAE"/>
    <w:rsid w:val="00E01EF2"/>
    <w:rsid w:val="00E01F75"/>
    <w:rsid w:val="00E020E7"/>
    <w:rsid w:val="00E0254A"/>
    <w:rsid w:val="00E02968"/>
    <w:rsid w:val="00E02AAC"/>
    <w:rsid w:val="00E02ACC"/>
    <w:rsid w:val="00E02CA7"/>
    <w:rsid w:val="00E03B0D"/>
    <w:rsid w:val="00E03FF2"/>
    <w:rsid w:val="00E040B0"/>
    <w:rsid w:val="00E049D7"/>
    <w:rsid w:val="00E049DE"/>
    <w:rsid w:val="00E04C30"/>
    <w:rsid w:val="00E04E84"/>
    <w:rsid w:val="00E051C2"/>
    <w:rsid w:val="00E05614"/>
    <w:rsid w:val="00E05BEE"/>
    <w:rsid w:val="00E05F27"/>
    <w:rsid w:val="00E06031"/>
    <w:rsid w:val="00E06BC4"/>
    <w:rsid w:val="00E10339"/>
    <w:rsid w:val="00E10527"/>
    <w:rsid w:val="00E126AA"/>
    <w:rsid w:val="00E12751"/>
    <w:rsid w:val="00E12826"/>
    <w:rsid w:val="00E12B1D"/>
    <w:rsid w:val="00E13085"/>
    <w:rsid w:val="00E135C2"/>
    <w:rsid w:val="00E139C1"/>
    <w:rsid w:val="00E13B67"/>
    <w:rsid w:val="00E14086"/>
    <w:rsid w:val="00E14239"/>
    <w:rsid w:val="00E1444F"/>
    <w:rsid w:val="00E14474"/>
    <w:rsid w:val="00E14598"/>
    <w:rsid w:val="00E14720"/>
    <w:rsid w:val="00E14895"/>
    <w:rsid w:val="00E1506A"/>
    <w:rsid w:val="00E1545C"/>
    <w:rsid w:val="00E15A11"/>
    <w:rsid w:val="00E16008"/>
    <w:rsid w:val="00E160CE"/>
    <w:rsid w:val="00E1616D"/>
    <w:rsid w:val="00E1632A"/>
    <w:rsid w:val="00E1644A"/>
    <w:rsid w:val="00E17125"/>
    <w:rsid w:val="00E1717C"/>
    <w:rsid w:val="00E20815"/>
    <w:rsid w:val="00E20A88"/>
    <w:rsid w:val="00E20D0D"/>
    <w:rsid w:val="00E216CD"/>
    <w:rsid w:val="00E21D72"/>
    <w:rsid w:val="00E220CC"/>
    <w:rsid w:val="00E22357"/>
    <w:rsid w:val="00E22686"/>
    <w:rsid w:val="00E226DE"/>
    <w:rsid w:val="00E227A1"/>
    <w:rsid w:val="00E2359C"/>
    <w:rsid w:val="00E236A4"/>
    <w:rsid w:val="00E237B5"/>
    <w:rsid w:val="00E23D43"/>
    <w:rsid w:val="00E2421D"/>
    <w:rsid w:val="00E2498A"/>
    <w:rsid w:val="00E25589"/>
    <w:rsid w:val="00E259F8"/>
    <w:rsid w:val="00E260D8"/>
    <w:rsid w:val="00E262F4"/>
    <w:rsid w:val="00E264B2"/>
    <w:rsid w:val="00E26576"/>
    <w:rsid w:val="00E2658F"/>
    <w:rsid w:val="00E265F2"/>
    <w:rsid w:val="00E26730"/>
    <w:rsid w:val="00E26749"/>
    <w:rsid w:val="00E267E1"/>
    <w:rsid w:val="00E27306"/>
    <w:rsid w:val="00E2736B"/>
    <w:rsid w:val="00E275E6"/>
    <w:rsid w:val="00E27E19"/>
    <w:rsid w:val="00E27FB6"/>
    <w:rsid w:val="00E301CB"/>
    <w:rsid w:val="00E305B7"/>
    <w:rsid w:val="00E30832"/>
    <w:rsid w:val="00E308B2"/>
    <w:rsid w:val="00E30A2C"/>
    <w:rsid w:val="00E30AA9"/>
    <w:rsid w:val="00E310AC"/>
    <w:rsid w:val="00E313C2"/>
    <w:rsid w:val="00E31708"/>
    <w:rsid w:val="00E31F9E"/>
    <w:rsid w:val="00E320CE"/>
    <w:rsid w:val="00E321E8"/>
    <w:rsid w:val="00E3291E"/>
    <w:rsid w:val="00E3331F"/>
    <w:rsid w:val="00E33325"/>
    <w:rsid w:val="00E345C8"/>
    <w:rsid w:val="00E3460A"/>
    <w:rsid w:val="00E34FD8"/>
    <w:rsid w:val="00E35320"/>
    <w:rsid w:val="00E3557A"/>
    <w:rsid w:val="00E3559C"/>
    <w:rsid w:val="00E359F5"/>
    <w:rsid w:val="00E3607B"/>
    <w:rsid w:val="00E36ED7"/>
    <w:rsid w:val="00E37C33"/>
    <w:rsid w:val="00E4005C"/>
    <w:rsid w:val="00E4058F"/>
    <w:rsid w:val="00E41C8A"/>
    <w:rsid w:val="00E42008"/>
    <w:rsid w:val="00E42067"/>
    <w:rsid w:val="00E42095"/>
    <w:rsid w:val="00E42FE5"/>
    <w:rsid w:val="00E43394"/>
    <w:rsid w:val="00E43637"/>
    <w:rsid w:val="00E438CF"/>
    <w:rsid w:val="00E43AD1"/>
    <w:rsid w:val="00E43B5A"/>
    <w:rsid w:val="00E43BEB"/>
    <w:rsid w:val="00E44139"/>
    <w:rsid w:val="00E44551"/>
    <w:rsid w:val="00E445B8"/>
    <w:rsid w:val="00E446A8"/>
    <w:rsid w:val="00E448A5"/>
    <w:rsid w:val="00E448AC"/>
    <w:rsid w:val="00E44A9F"/>
    <w:rsid w:val="00E44CAC"/>
    <w:rsid w:val="00E44ECF"/>
    <w:rsid w:val="00E44FD6"/>
    <w:rsid w:val="00E44FFF"/>
    <w:rsid w:val="00E45001"/>
    <w:rsid w:val="00E45812"/>
    <w:rsid w:val="00E45998"/>
    <w:rsid w:val="00E46457"/>
    <w:rsid w:val="00E464C6"/>
    <w:rsid w:val="00E466D3"/>
    <w:rsid w:val="00E46858"/>
    <w:rsid w:val="00E46C4B"/>
    <w:rsid w:val="00E46E62"/>
    <w:rsid w:val="00E4728A"/>
    <w:rsid w:val="00E476DF"/>
    <w:rsid w:val="00E47C8E"/>
    <w:rsid w:val="00E47FE4"/>
    <w:rsid w:val="00E504D4"/>
    <w:rsid w:val="00E50CF0"/>
    <w:rsid w:val="00E50D7E"/>
    <w:rsid w:val="00E50E63"/>
    <w:rsid w:val="00E510F5"/>
    <w:rsid w:val="00E516BF"/>
    <w:rsid w:val="00E51766"/>
    <w:rsid w:val="00E51A5B"/>
    <w:rsid w:val="00E52151"/>
    <w:rsid w:val="00E5280B"/>
    <w:rsid w:val="00E529E7"/>
    <w:rsid w:val="00E52E81"/>
    <w:rsid w:val="00E52FA5"/>
    <w:rsid w:val="00E53F81"/>
    <w:rsid w:val="00E54449"/>
    <w:rsid w:val="00E5446F"/>
    <w:rsid w:val="00E549FC"/>
    <w:rsid w:val="00E54E59"/>
    <w:rsid w:val="00E55E33"/>
    <w:rsid w:val="00E56BB2"/>
    <w:rsid w:val="00E56E9E"/>
    <w:rsid w:val="00E578AA"/>
    <w:rsid w:val="00E57939"/>
    <w:rsid w:val="00E61197"/>
    <w:rsid w:val="00E612F2"/>
    <w:rsid w:val="00E61F8A"/>
    <w:rsid w:val="00E62538"/>
    <w:rsid w:val="00E6286A"/>
    <w:rsid w:val="00E63EAA"/>
    <w:rsid w:val="00E640B8"/>
    <w:rsid w:val="00E64203"/>
    <w:rsid w:val="00E64A03"/>
    <w:rsid w:val="00E64B65"/>
    <w:rsid w:val="00E64EFD"/>
    <w:rsid w:val="00E65587"/>
    <w:rsid w:val="00E65E5F"/>
    <w:rsid w:val="00E667C1"/>
    <w:rsid w:val="00E6730E"/>
    <w:rsid w:val="00E67A19"/>
    <w:rsid w:val="00E67E7C"/>
    <w:rsid w:val="00E703BA"/>
    <w:rsid w:val="00E7072F"/>
    <w:rsid w:val="00E707E8"/>
    <w:rsid w:val="00E708C3"/>
    <w:rsid w:val="00E708CB"/>
    <w:rsid w:val="00E71885"/>
    <w:rsid w:val="00E71B21"/>
    <w:rsid w:val="00E723C3"/>
    <w:rsid w:val="00E72AFA"/>
    <w:rsid w:val="00E72FD3"/>
    <w:rsid w:val="00E730BC"/>
    <w:rsid w:val="00E7332E"/>
    <w:rsid w:val="00E7350E"/>
    <w:rsid w:val="00E74207"/>
    <w:rsid w:val="00E74752"/>
    <w:rsid w:val="00E74879"/>
    <w:rsid w:val="00E74C80"/>
    <w:rsid w:val="00E75046"/>
    <w:rsid w:val="00E751B8"/>
    <w:rsid w:val="00E75B1C"/>
    <w:rsid w:val="00E75C28"/>
    <w:rsid w:val="00E76490"/>
    <w:rsid w:val="00E77C86"/>
    <w:rsid w:val="00E8030E"/>
    <w:rsid w:val="00E803BF"/>
    <w:rsid w:val="00E80470"/>
    <w:rsid w:val="00E80978"/>
    <w:rsid w:val="00E80B67"/>
    <w:rsid w:val="00E81AA9"/>
    <w:rsid w:val="00E81C43"/>
    <w:rsid w:val="00E81E5D"/>
    <w:rsid w:val="00E824C4"/>
    <w:rsid w:val="00E825BB"/>
    <w:rsid w:val="00E8281F"/>
    <w:rsid w:val="00E8291E"/>
    <w:rsid w:val="00E82F77"/>
    <w:rsid w:val="00E83283"/>
    <w:rsid w:val="00E8346B"/>
    <w:rsid w:val="00E83A59"/>
    <w:rsid w:val="00E83BE9"/>
    <w:rsid w:val="00E83D70"/>
    <w:rsid w:val="00E83E03"/>
    <w:rsid w:val="00E83EB2"/>
    <w:rsid w:val="00E840C5"/>
    <w:rsid w:val="00E8410C"/>
    <w:rsid w:val="00E84905"/>
    <w:rsid w:val="00E85031"/>
    <w:rsid w:val="00E850D2"/>
    <w:rsid w:val="00E8531D"/>
    <w:rsid w:val="00E855AF"/>
    <w:rsid w:val="00E855F3"/>
    <w:rsid w:val="00E857DD"/>
    <w:rsid w:val="00E85BAF"/>
    <w:rsid w:val="00E85C37"/>
    <w:rsid w:val="00E86F8F"/>
    <w:rsid w:val="00E876B4"/>
    <w:rsid w:val="00E87C6C"/>
    <w:rsid w:val="00E87D7A"/>
    <w:rsid w:val="00E908A1"/>
    <w:rsid w:val="00E90FEA"/>
    <w:rsid w:val="00E9125C"/>
    <w:rsid w:val="00E9146D"/>
    <w:rsid w:val="00E914AC"/>
    <w:rsid w:val="00E91544"/>
    <w:rsid w:val="00E91590"/>
    <w:rsid w:val="00E91E03"/>
    <w:rsid w:val="00E92247"/>
    <w:rsid w:val="00E9227D"/>
    <w:rsid w:val="00E92600"/>
    <w:rsid w:val="00E928C3"/>
    <w:rsid w:val="00E92BD1"/>
    <w:rsid w:val="00E93330"/>
    <w:rsid w:val="00E935AF"/>
    <w:rsid w:val="00E936C0"/>
    <w:rsid w:val="00E93E93"/>
    <w:rsid w:val="00E94152"/>
    <w:rsid w:val="00E94861"/>
    <w:rsid w:val="00E94DA8"/>
    <w:rsid w:val="00E950FD"/>
    <w:rsid w:val="00E95331"/>
    <w:rsid w:val="00E9558B"/>
    <w:rsid w:val="00E95D8D"/>
    <w:rsid w:val="00E960DF"/>
    <w:rsid w:val="00E96145"/>
    <w:rsid w:val="00E9619A"/>
    <w:rsid w:val="00E96C50"/>
    <w:rsid w:val="00E96CA5"/>
    <w:rsid w:val="00E96DC7"/>
    <w:rsid w:val="00E96EEE"/>
    <w:rsid w:val="00E97470"/>
    <w:rsid w:val="00E97821"/>
    <w:rsid w:val="00EA03B4"/>
    <w:rsid w:val="00EA05D8"/>
    <w:rsid w:val="00EA1815"/>
    <w:rsid w:val="00EA1F22"/>
    <w:rsid w:val="00EA20B7"/>
    <w:rsid w:val="00EA237F"/>
    <w:rsid w:val="00EA24DE"/>
    <w:rsid w:val="00EA2654"/>
    <w:rsid w:val="00EA284A"/>
    <w:rsid w:val="00EA2937"/>
    <w:rsid w:val="00EA3134"/>
    <w:rsid w:val="00EA3450"/>
    <w:rsid w:val="00EA3E86"/>
    <w:rsid w:val="00EA3E8B"/>
    <w:rsid w:val="00EA43B6"/>
    <w:rsid w:val="00EA474C"/>
    <w:rsid w:val="00EA47AA"/>
    <w:rsid w:val="00EA4B36"/>
    <w:rsid w:val="00EA4C11"/>
    <w:rsid w:val="00EA4E7F"/>
    <w:rsid w:val="00EA4EE8"/>
    <w:rsid w:val="00EA54CD"/>
    <w:rsid w:val="00EA5DFD"/>
    <w:rsid w:val="00EA60A9"/>
    <w:rsid w:val="00EA6418"/>
    <w:rsid w:val="00EA68E9"/>
    <w:rsid w:val="00EA6AD9"/>
    <w:rsid w:val="00EA6E05"/>
    <w:rsid w:val="00EA71F9"/>
    <w:rsid w:val="00EA7BBE"/>
    <w:rsid w:val="00EB0297"/>
    <w:rsid w:val="00EB04EB"/>
    <w:rsid w:val="00EB066D"/>
    <w:rsid w:val="00EB0BA4"/>
    <w:rsid w:val="00EB0BAB"/>
    <w:rsid w:val="00EB0DC7"/>
    <w:rsid w:val="00EB1A9A"/>
    <w:rsid w:val="00EB1F7D"/>
    <w:rsid w:val="00EB2B6E"/>
    <w:rsid w:val="00EB2C0D"/>
    <w:rsid w:val="00EB2ECD"/>
    <w:rsid w:val="00EB3194"/>
    <w:rsid w:val="00EB39AB"/>
    <w:rsid w:val="00EB3B84"/>
    <w:rsid w:val="00EB3C5E"/>
    <w:rsid w:val="00EB3C66"/>
    <w:rsid w:val="00EB3D62"/>
    <w:rsid w:val="00EB4666"/>
    <w:rsid w:val="00EB4B76"/>
    <w:rsid w:val="00EB4D5C"/>
    <w:rsid w:val="00EB4EAD"/>
    <w:rsid w:val="00EB537A"/>
    <w:rsid w:val="00EB5902"/>
    <w:rsid w:val="00EB5AA8"/>
    <w:rsid w:val="00EB63DF"/>
    <w:rsid w:val="00EB6B00"/>
    <w:rsid w:val="00EB72B8"/>
    <w:rsid w:val="00EB7411"/>
    <w:rsid w:val="00EB75EF"/>
    <w:rsid w:val="00EB76ED"/>
    <w:rsid w:val="00EB7DF2"/>
    <w:rsid w:val="00EB7E2C"/>
    <w:rsid w:val="00EC013B"/>
    <w:rsid w:val="00EC02CF"/>
    <w:rsid w:val="00EC06D6"/>
    <w:rsid w:val="00EC08EC"/>
    <w:rsid w:val="00EC0A15"/>
    <w:rsid w:val="00EC0A48"/>
    <w:rsid w:val="00EC0BEA"/>
    <w:rsid w:val="00EC0D1F"/>
    <w:rsid w:val="00EC109D"/>
    <w:rsid w:val="00EC1AC2"/>
    <w:rsid w:val="00EC1B51"/>
    <w:rsid w:val="00EC1B65"/>
    <w:rsid w:val="00EC2191"/>
    <w:rsid w:val="00EC24F3"/>
    <w:rsid w:val="00EC252B"/>
    <w:rsid w:val="00EC2DCD"/>
    <w:rsid w:val="00EC3087"/>
    <w:rsid w:val="00EC3372"/>
    <w:rsid w:val="00EC338C"/>
    <w:rsid w:val="00EC33BC"/>
    <w:rsid w:val="00EC340A"/>
    <w:rsid w:val="00EC34B5"/>
    <w:rsid w:val="00EC34CA"/>
    <w:rsid w:val="00EC388C"/>
    <w:rsid w:val="00EC39D8"/>
    <w:rsid w:val="00EC3EC1"/>
    <w:rsid w:val="00EC4053"/>
    <w:rsid w:val="00EC406F"/>
    <w:rsid w:val="00EC43BA"/>
    <w:rsid w:val="00EC460B"/>
    <w:rsid w:val="00EC51AE"/>
    <w:rsid w:val="00EC534F"/>
    <w:rsid w:val="00EC5C60"/>
    <w:rsid w:val="00EC5E82"/>
    <w:rsid w:val="00EC61FB"/>
    <w:rsid w:val="00EC6BAD"/>
    <w:rsid w:val="00EC6FE7"/>
    <w:rsid w:val="00EC752C"/>
    <w:rsid w:val="00EC77EF"/>
    <w:rsid w:val="00EC7A39"/>
    <w:rsid w:val="00EC7A85"/>
    <w:rsid w:val="00EC7DED"/>
    <w:rsid w:val="00ED00CC"/>
    <w:rsid w:val="00ED082F"/>
    <w:rsid w:val="00ED0959"/>
    <w:rsid w:val="00ED0BD8"/>
    <w:rsid w:val="00ED182D"/>
    <w:rsid w:val="00ED18D4"/>
    <w:rsid w:val="00ED1C82"/>
    <w:rsid w:val="00ED1CD1"/>
    <w:rsid w:val="00ED1E24"/>
    <w:rsid w:val="00ED1E35"/>
    <w:rsid w:val="00ED2743"/>
    <w:rsid w:val="00ED282F"/>
    <w:rsid w:val="00ED28E1"/>
    <w:rsid w:val="00ED2C9C"/>
    <w:rsid w:val="00ED2D2E"/>
    <w:rsid w:val="00ED2E8F"/>
    <w:rsid w:val="00ED32F3"/>
    <w:rsid w:val="00ED3AA9"/>
    <w:rsid w:val="00ED3D7C"/>
    <w:rsid w:val="00ED3F43"/>
    <w:rsid w:val="00ED3FDF"/>
    <w:rsid w:val="00ED4196"/>
    <w:rsid w:val="00ED458D"/>
    <w:rsid w:val="00ED487A"/>
    <w:rsid w:val="00ED4A64"/>
    <w:rsid w:val="00ED58D6"/>
    <w:rsid w:val="00ED6024"/>
    <w:rsid w:val="00ED608A"/>
    <w:rsid w:val="00ED6810"/>
    <w:rsid w:val="00ED6CCF"/>
    <w:rsid w:val="00ED7148"/>
    <w:rsid w:val="00ED75EB"/>
    <w:rsid w:val="00ED794E"/>
    <w:rsid w:val="00EE0D35"/>
    <w:rsid w:val="00EE0EF5"/>
    <w:rsid w:val="00EE2731"/>
    <w:rsid w:val="00EE2811"/>
    <w:rsid w:val="00EE2A83"/>
    <w:rsid w:val="00EE2E26"/>
    <w:rsid w:val="00EE2ED2"/>
    <w:rsid w:val="00EE3369"/>
    <w:rsid w:val="00EE3496"/>
    <w:rsid w:val="00EE375B"/>
    <w:rsid w:val="00EE3D20"/>
    <w:rsid w:val="00EE4595"/>
    <w:rsid w:val="00EE468B"/>
    <w:rsid w:val="00EE4CBF"/>
    <w:rsid w:val="00EE5923"/>
    <w:rsid w:val="00EE5B95"/>
    <w:rsid w:val="00EE5DAD"/>
    <w:rsid w:val="00EE6F13"/>
    <w:rsid w:val="00EE7127"/>
    <w:rsid w:val="00EE7BFE"/>
    <w:rsid w:val="00EF0805"/>
    <w:rsid w:val="00EF088D"/>
    <w:rsid w:val="00EF116B"/>
    <w:rsid w:val="00EF130E"/>
    <w:rsid w:val="00EF1602"/>
    <w:rsid w:val="00EF1997"/>
    <w:rsid w:val="00EF19FE"/>
    <w:rsid w:val="00EF1AF4"/>
    <w:rsid w:val="00EF2229"/>
    <w:rsid w:val="00EF2513"/>
    <w:rsid w:val="00EF2A3B"/>
    <w:rsid w:val="00EF358A"/>
    <w:rsid w:val="00EF385B"/>
    <w:rsid w:val="00EF3EE5"/>
    <w:rsid w:val="00EF3F86"/>
    <w:rsid w:val="00EF44C2"/>
    <w:rsid w:val="00EF477E"/>
    <w:rsid w:val="00EF4840"/>
    <w:rsid w:val="00EF4B60"/>
    <w:rsid w:val="00EF4FB4"/>
    <w:rsid w:val="00EF51D2"/>
    <w:rsid w:val="00EF54C3"/>
    <w:rsid w:val="00EF5A7E"/>
    <w:rsid w:val="00EF5C40"/>
    <w:rsid w:val="00EF6033"/>
    <w:rsid w:val="00EF62F1"/>
    <w:rsid w:val="00EF6C6D"/>
    <w:rsid w:val="00EF6CC3"/>
    <w:rsid w:val="00EF7371"/>
    <w:rsid w:val="00EF7AF7"/>
    <w:rsid w:val="00EF7F77"/>
    <w:rsid w:val="00F00141"/>
    <w:rsid w:val="00F010D4"/>
    <w:rsid w:val="00F01218"/>
    <w:rsid w:val="00F01247"/>
    <w:rsid w:val="00F01BC2"/>
    <w:rsid w:val="00F020ED"/>
    <w:rsid w:val="00F02640"/>
    <w:rsid w:val="00F0279B"/>
    <w:rsid w:val="00F02A65"/>
    <w:rsid w:val="00F0311B"/>
    <w:rsid w:val="00F03DFD"/>
    <w:rsid w:val="00F04866"/>
    <w:rsid w:val="00F04997"/>
    <w:rsid w:val="00F04B6B"/>
    <w:rsid w:val="00F04F96"/>
    <w:rsid w:val="00F058BB"/>
    <w:rsid w:val="00F05BAC"/>
    <w:rsid w:val="00F05D35"/>
    <w:rsid w:val="00F06649"/>
    <w:rsid w:val="00F06BA6"/>
    <w:rsid w:val="00F071F7"/>
    <w:rsid w:val="00F076FE"/>
    <w:rsid w:val="00F07838"/>
    <w:rsid w:val="00F07DC0"/>
    <w:rsid w:val="00F10067"/>
    <w:rsid w:val="00F10337"/>
    <w:rsid w:val="00F1094F"/>
    <w:rsid w:val="00F10A18"/>
    <w:rsid w:val="00F113E5"/>
    <w:rsid w:val="00F1155D"/>
    <w:rsid w:val="00F11B20"/>
    <w:rsid w:val="00F1274E"/>
    <w:rsid w:val="00F12C3A"/>
    <w:rsid w:val="00F1308D"/>
    <w:rsid w:val="00F1339E"/>
    <w:rsid w:val="00F13B81"/>
    <w:rsid w:val="00F14F01"/>
    <w:rsid w:val="00F1503C"/>
    <w:rsid w:val="00F15D0D"/>
    <w:rsid w:val="00F15E7F"/>
    <w:rsid w:val="00F15F84"/>
    <w:rsid w:val="00F16F00"/>
    <w:rsid w:val="00F16FF0"/>
    <w:rsid w:val="00F170F8"/>
    <w:rsid w:val="00F17423"/>
    <w:rsid w:val="00F17DC4"/>
    <w:rsid w:val="00F17E62"/>
    <w:rsid w:val="00F17F12"/>
    <w:rsid w:val="00F20030"/>
    <w:rsid w:val="00F200AF"/>
    <w:rsid w:val="00F20315"/>
    <w:rsid w:val="00F2054F"/>
    <w:rsid w:val="00F20693"/>
    <w:rsid w:val="00F20A22"/>
    <w:rsid w:val="00F20B06"/>
    <w:rsid w:val="00F22099"/>
    <w:rsid w:val="00F2246C"/>
    <w:rsid w:val="00F22CEB"/>
    <w:rsid w:val="00F22D30"/>
    <w:rsid w:val="00F22EDF"/>
    <w:rsid w:val="00F231BE"/>
    <w:rsid w:val="00F2411E"/>
    <w:rsid w:val="00F24DA9"/>
    <w:rsid w:val="00F24E48"/>
    <w:rsid w:val="00F253E4"/>
    <w:rsid w:val="00F259C1"/>
    <w:rsid w:val="00F25D20"/>
    <w:rsid w:val="00F25D21"/>
    <w:rsid w:val="00F25D6D"/>
    <w:rsid w:val="00F2631C"/>
    <w:rsid w:val="00F2642F"/>
    <w:rsid w:val="00F267D6"/>
    <w:rsid w:val="00F270E9"/>
    <w:rsid w:val="00F271C5"/>
    <w:rsid w:val="00F27753"/>
    <w:rsid w:val="00F278F5"/>
    <w:rsid w:val="00F30CA9"/>
    <w:rsid w:val="00F30D3D"/>
    <w:rsid w:val="00F31592"/>
    <w:rsid w:val="00F315E5"/>
    <w:rsid w:val="00F3178D"/>
    <w:rsid w:val="00F31B9B"/>
    <w:rsid w:val="00F31BBE"/>
    <w:rsid w:val="00F31E09"/>
    <w:rsid w:val="00F32C5D"/>
    <w:rsid w:val="00F32EC5"/>
    <w:rsid w:val="00F33018"/>
    <w:rsid w:val="00F3365B"/>
    <w:rsid w:val="00F33673"/>
    <w:rsid w:val="00F33838"/>
    <w:rsid w:val="00F33ADD"/>
    <w:rsid w:val="00F33B84"/>
    <w:rsid w:val="00F33E85"/>
    <w:rsid w:val="00F33F86"/>
    <w:rsid w:val="00F342D7"/>
    <w:rsid w:val="00F3443E"/>
    <w:rsid w:val="00F347CC"/>
    <w:rsid w:val="00F35325"/>
    <w:rsid w:val="00F35D3F"/>
    <w:rsid w:val="00F36797"/>
    <w:rsid w:val="00F368AE"/>
    <w:rsid w:val="00F37370"/>
    <w:rsid w:val="00F37434"/>
    <w:rsid w:val="00F37624"/>
    <w:rsid w:val="00F3791B"/>
    <w:rsid w:val="00F4009B"/>
    <w:rsid w:val="00F40957"/>
    <w:rsid w:val="00F4161E"/>
    <w:rsid w:val="00F416E9"/>
    <w:rsid w:val="00F419C1"/>
    <w:rsid w:val="00F41A23"/>
    <w:rsid w:val="00F41B03"/>
    <w:rsid w:val="00F41B57"/>
    <w:rsid w:val="00F41F33"/>
    <w:rsid w:val="00F41F72"/>
    <w:rsid w:val="00F41FD7"/>
    <w:rsid w:val="00F421F4"/>
    <w:rsid w:val="00F42902"/>
    <w:rsid w:val="00F42A65"/>
    <w:rsid w:val="00F42A8A"/>
    <w:rsid w:val="00F430AA"/>
    <w:rsid w:val="00F437A3"/>
    <w:rsid w:val="00F4380C"/>
    <w:rsid w:val="00F439D3"/>
    <w:rsid w:val="00F43B9F"/>
    <w:rsid w:val="00F4403B"/>
    <w:rsid w:val="00F4435D"/>
    <w:rsid w:val="00F4460C"/>
    <w:rsid w:val="00F448C8"/>
    <w:rsid w:val="00F448E2"/>
    <w:rsid w:val="00F44A08"/>
    <w:rsid w:val="00F44A84"/>
    <w:rsid w:val="00F44CDA"/>
    <w:rsid w:val="00F44D82"/>
    <w:rsid w:val="00F4516F"/>
    <w:rsid w:val="00F4528D"/>
    <w:rsid w:val="00F456E9"/>
    <w:rsid w:val="00F4587E"/>
    <w:rsid w:val="00F459A4"/>
    <w:rsid w:val="00F45BBA"/>
    <w:rsid w:val="00F45FB3"/>
    <w:rsid w:val="00F4696B"/>
    <w:rsid w:val="00F46DD0"/>
    <w:rsid w:val="00F46F30"/>
    <w:rsid w:val="00F46F7B"/>
    <w:rsid w:val="00F4759D"/>
    <w:rsid w:val="00F4773D"/>
    <w:rsid w:val="00F47F54"/>
    <w:rsid w:val="00F50233"/>
    <w:rsid w:val="00F509B1"/>
    <w:rsid w:val="00F50D4A"/>
    <w:rsid w:val="00F50DEE"/>
    <w:rsid w:val="00F51B6B"/>
    <w:rsid w:val="00F51CE7"/>
    <w:rsid w:val="00F51E60"/>
    <w:rsid w:val="00F520C0"/>
    <w:rsid w:val="00F52168"/>
    <w:rsid w:val="00F522BD"/>
    <w:rsid w:val="00F52E8F"/>
    <w:rsid w:val="00F53220"/>
    <w:rsid w:val="00F53732"/>
    <w:rsid w:val="00F53932"/>
    <w:rsid w:val="00F53A90"/>
    <w:rsid w:val="00F53D09"/>
    <w:rsid w:val="00F53D16"/>
    <w:rsid w:val="00F53E1E"/>
    <w:rsid w:val="00F53F69"/>
    <w:rsid w:val="00F5424B"/>
    <w:rsid w:val="00F543B6"/>
    <w:rsid w:val="00F54D51"/>
    <w:rsid w:val="00F54E3B"/>
    <w:rsid w:val="00F553C0"/>
    <w:rsid w:val="00F56271"/>
    <w:rsid w:val="00F5628D"/>
    <w:rsid w:val="00F569A2"/>
    <w:rsid w:val="00F56FF3"/>
    <w:rsid w:val="00F5778A"/>
    <w:rsid w:val="00F600B1"/>
    <w:rsid w:val="00F60892"/>
    <w:rsid w:val="00F609AE"/>
    <w:rsid w:val="00F60E0B"/>
    <w:rsid w:val="00F60FF4"/>
    <w:rsid w:val="00F61397"/>
    <w:rsid w:val="00F613CB"/>
    <w:rsid w:val="00F6155C"/>
    <w:rsid w:val="00F61C8B"/>
    <w:rsid w:val="00F61D25"/>
    <w:rsid w:val="00F61DEC"/>
    <w:rsid w:val="00F62074"/>
    <w:rsid w:val="00F62276"/>
    <w:rsid w:val="00F62879"/>
    <w:rsid w:val="00F63465"/>
    <w:rsid w:val="00F63BFA"/>
    <w:rsid w:val="00F63D02"/>
    <w:rsid w:val="00F63E14"/>
    <w:rsid w:val="00F63E15"/>
    <w:rsid w:val="00F6416C"/>
    <w:rsid w:val="00F64959"/>
    <w:rsid w:val="00F64C93"/>
    <w:rsid w:val="00F65192"/>
    <w:rsid w:val="00F65257"/>
    <w:rsid w:val="00F6531E"/>
    <w:rsid w:val="00F6578A"/>
    <w:rsid w:val="00F65B63"/>
    <w:rsid w:val="00F65D57"/>
    <w:rsid w:val="00F65F5C"/>
    <w:rsid w:val="00F66801"/>
    <w:rsid w:val="00F669B1"/>
    <w:rsid w:val="00F66B8F"/>
    <w:rsid w:val="00F66F5E"/>
    <w:rsid w:val="00F66F65"/>
    <w:rsid w:val="00F67A48"/>
    <w:rsid w:val="00F67F56"/>
    <w:rsid w:val="00F70261"/>
    <w:rsid w:val="00F7083F"/>
    <w:rsid w:val="00F7095F"/>
    <w:rsid w:val="00F70E02"/>
    <w:rsid w:val="00F711AC"/>
    <w:rsid w:val="00F71496"/>
    <w:rsid w:val="00F716DD"/>
    <w:rsid w:val="00F71C2F"/>
    <w:rsid w:val="00F71F3C"/>
    <w:rsid w:val="00F72DF3"/>
    <w:rsid w:val="00F72EAD"/>
    <w:rsid w:val="00F72F04"/>
    <w:rsid w:val="00F7314A"/>
    <w:rsid w:val="00F73A76"/>
    <w:rsid w:val="00F73C1E"/>
    <w:rsid w:val="00F73EE2"/>
    <w:rsid w:val="00F74138"/>
    <w:rsid w:val="00F741AE"/>
    <w:rsid w:val="00F74284"/>
    <w:rsid w:val="00F744CC"/>
    <w:rsid w:val="00F74569"/>
    <w:rsid w:val="00F74948"/>
    <w:rsid w:val="00F74F68"/>
    <w:rsid w:val="00F752D5"/>
    <w:rsid w:val="00F753E1"/>
    <w:rsid w:val="00F7561C"/>
    <w:rsid w:val="00F756ED"/>
    <w:rsid w:val="00F75BEB"/>
    <w:rsid w:val="00F75C34"/>
    <w:rsid w:val="00F76013"/>
    <w:rsid w:val="00F763F1"/>
    <w:rsid w:val="00F77838"/>
    <w:rsid w:val="00F77A2F"/>
    <w:rsid w:val="00F77B1B"/>
    <w:rsid w:val="00F77D4A"/>
    <w:rsid w:val="00F77F98"/>
    <w:rsid w:val="00F805EB"/>
    <w:rsid w:val="00F8084A"/>
    <w:rsid w:val="00F80D42"/>
    <w:rsid w:val="00F80D89"/>
    <w:rsid w:val="00F80EF9"/>
    <w:rsid w:val="00F81197"/>
    <w:rsid w:val="00F812A3"/>
    <w:rsid w:val="00F820EF"/>
    <w:rsid w:val="00F82304"/>
    <w:rsid w:val="00F82D65"/>
    <w:rsid w:val="00F83730"/>
    <w:rsid w:val="00F84218"/>
    <w:rsid w:val="00F845B4"/>
    <w:rsid w:val="00F84BA2"/>
    <w:rsid w:val="00F84BC6"/>
    <w:rsid w:val="00F850AF"/>
    <w:rsid w:val="00F851D9"/>
    <w:rsid w:val="00F852A0"/>
    <w:rsid w:val="00F857F9"/>
    <w:rsid w:val="00F85EBF"/>
    <w:rsid w:val="00F8654A"/>
    <w:rsid w:val="00F8684E"/>
    <w:rsid w:val="00F86A20"/>
    <w:rsid w:val="00F87352"/>
    <w:rsid w:val="00F8738A"/>
    <w:rsid w:val="00F87C41"/>
    <w:rsid w:val="00F9036D"/>
    <w:rsid w:val="00F90807"/>
    <w:rsid w:val="00F90914"/>
    <w:rsid w:val="00F913B4"/>
    <w:rsid w:val="00F91645"/>
    <w:rsid w:val="00F9182E"/>
    <w:rsid w:val="00F92BD1"/>
    <w:rsid w:val="00F93059"/>
    <w:rsid w:val="00F93872"/>
    <w:rsid w:val="00F93D15"/>
    <w:rsid w:val="00F93E47"/>
    <w:rsid w:val="00F93F94"/>
    <w:rsid w:val="00F9486B"/>
    <w:rsid w:val="00F951D4"/>
    <w:rsid w:val="00F95A78"/>
    <w:rsid w:val="00F95AE1"/>
    <w:rsid w:val="00F9639B"/>
    <w:rsid w:val="00F963C2"/>
    <w:rsid w:val="00F96FAF"/>
    <w:rsid w:val="00F97565"/>
    <w:rsid w:val="00F97761"/>
    <w:rsid w:val="00F978C8"/>
    <w:rsid w:val="00F979FB"/>
    <w:rsid w:val="00F97FFA"/>
    <w:rsid w:val="00FA0059"/>
    <w:rsid w:val="00FA015A"/>
    <w:rsid w:val="00FA077B"/>
    <w:rsid w:val="00FA0B59"/>
    <w:rsid w:val="00FA1F5F"/>
    <w:rsid w:val="00FA286E"/>
    <w:rsid w:val="00FA2D57"/>
    <w:rsid w:val="00FA3A93"/>
    <w:rsid w:val="00FA3B78"/>
    <w:rsid w:val="00FA46D9"/>
    <w:rsid w:val="00FA5011"/>
    <w:rsid w:val="00FA50D1"/>
    <w:rsid w:val="00FA525F"/>
    <w:rsid w:val="00FA57B5"/>
    <w:rsid w:val="00FA5944"/>
    <w:rsid w:val="00FA599B"/>
    <w:rsid w:val="00FA5B29"/>
    <w:rsid w:val="00FA5C5C"/>
    <w:rsid w:val="00FA60A0"/>
    <w:rsid w:val="00FA61AC"/>
    <w:rsid w:val="00FA6D83"/>
    <w:rsid w:val="00FA7BD0"/>
    <w:rsid w:val="00FB00FC"/>
    <w:rsid w:val="00FB03C4"/>
    <w:rsid w:val="00FB0C01"/>
    <w:rsid w:val="00FB0CFE"/>
    <w:rsid w:val="00FB1324"/>
    <w:rsid w:val="00FB15A8"/>
    <w:rsid w:val="00FB1AE2"/>
    <w:rsid w:val="00FB1C98"/>
    <w:rsid w:val="00FB2084"/>
    <w:rsid w:val="00FB2518"/>
    <w:rsid w:val="00FB2675"/>
    <w:rsid w:val="00FB3169"/>
    <w:rsid w:val="00FB3770"/>
    <w:rsid w:val="00FB391E"/>
    <w:rsid w:val="00FB3A18"/>
    <w:rsid w:val="00FB3C72"/>
    <w:rsid w:val="00FB438C"/>
    <w:rsid w:val="00FB4818"/>
    <w:rsid w:val="00FB4D3E"/>
    <w:rsid w:val="00FB4FBD"/>
    <w:rsid w:val="00FB5153"/>
    <w:rsid w:val="00FB5398"/>
    <w:rsid w:val="00FB5549"/>
    <w:rsid w:val="00FB7789"/>
    <w:rsid w:val="00FB7C3D"/>
    <w:rsid w:val="00FB7D24"/>
    <w:rsid w:val="00FB7D76"/>
    <w:rsid w:val="00FC06B2"/>
    <w:rsid w:val="00FC06CF"/>
    <w:rsid w:val="00FC079B"/>
    <w:rsid w:val="00FC091E"/>
    <w:rsid w:val="00FC0C4F"/>
    <w:rsid w:val="00FC117C"/>
    <w:rsid w:val="00FC1393"/>
    <w:rsid w:val="00FC1D1B"/>
    <w:rsid w:val="00FC23BD"/>
    <w:rsid w:val="00FC2E35"/>
    <w:rsid w:val="00FC2E57"/>
    <w:rsid w:val="00FC3395"/>
    <w:rsid w:val="00FC377C"/>
    <w:rsid w:val="00FC408B"/>
    <w:rsid w:val="00FC414F"/>
    <w:rsid w:val="00FC5137"/>
    <w:rsid w:val="00FC5378"/>
    <w:rsid w:val="00FC581D"/>
    <w:rsid w:val="00FC58E0"/>
    <w:rsid w:val="00FC60D0"/>
    <w:rsid w:val="00FC64ED"/>
    <w:rsid w:val="00FC65D7"/>
    <w:rsid w:val="00FC69CE"/>
    <w:rsid w:val="00FC6CB6"/>
    <w:rsid w:val="00FC6CCD"/>
    <w:rsid w:val="00FC713C"/>
    <w:rsid w:val="00FC75E7"/>
    <w:rsid w:val="00FC77C3"/>
    <w:rsid w:val="00FD00DB"/>
    <w:rsid w:val="00FD01D8"/>
    <w:rsid w:val="00FD0D4F"/>
    <w:rsid w:val="00FD0DB3"/>
    <w:rsid w:val="00FD129A"/>
    <w:rsid w:val="00FD1D60"/>
    <w:rsid w:val="00FD1F5B"/>
    <w:rsid w:val="00FD2148"/>
    <w:rsid w:val="00FD24CE"/>
    <w:rsid w:val="00FD2BB5"/>
    <w:rsid w:val="00FD2BDB"/>
    <w:rsid w:val="00FD33BD"/>
    <w:rsid w:val="00FD380D"/>
    <w:rsid w:val="00FD380F"/>
    <w:rsid w:val="00FD3AE9"/>
    <w:rsid w:val="00FD3B88"/>
    <w:rsid w:val="00FD3C4C"/>
    <w:rsid w:val="00FD3EE7"/>
    <w:rsid w:val="00FD41F2"/>
    <w:rsid w:val="00FD4A62"/>
    <w:rsid w:val="00FD5108"/>
    <w:rsid w:val="00FD543A"/>
    <w:rsid w:val="00FD54F5"/>
    <w:rsid w:val="00FD5949"/>
    <w:rsid w:val="00FD660D"/>
    <w:rsid w:val="00FD6A87"/>
    <w:rsid w:val="00FD7011"/>
    <w:rsid w:val="00FD7571"/>
    <w:rsid w:val="00FE034C"/>
    <w:rsid w:val="00FE0464"/>
    <w:rsid w:val="00FE0603"/>
    <w:rsid w:val="00FE0CFE"/>
    <w:rsid w:val="00FE11B9"/>
    <w:rsid w:val="00FE1368"/>
    <w:rsid w:val="00FE137C"/>
    <w:rsid w:val="00FE1930"/>
    <w:rsid w:val="00FE1DDC"/>
    <w:rsid w:val="00FE201A"/>
    <w:rsid w:val="00FE20B4"/>
    <w:rsid w:val="00FE221B"/>
    <w:rsid w:val="00FE2328"/>
    <w:rsid w:val="00FE2860"/>
    <w:rsid w:val="00FE2AC3"/>
    <w:rsid w:val="00FE2C11"/>
    <w:rsid w:val="00FE2F1D"/>
    <w:rsid w:val="00FE30A9"/>
    <w:rsid w:val="00FE3289"/>
    <w:rsid w:val="00FE3926"/>
    <w:rsid w:val="00FE3930"/>
    <w:rsid w:val="00FE3A61"/>
    <w:rsid w:val="00FE4590"/>
    <w:rsid w:val="00FE4943"/>
    <w:rsid w:val="00FE4BD4"/>
    <w:rsid w:val="00FE4F3B"/>
    <w:rsid w:val="00FE533E"/>
    <w:rsid w:val="00FE543B"/>
    <w:rsid w:val="00FE5795"/>
    <w:rsid w:val="00FE5F0A"/>
    <w:rsid w:val="00FE6B1D"/>
    <w:rsid w:val="00FE6F7D"/>
    <w:rsid w:val="00FE717C"/>
    <w:rsid w:val="00FE751F"/>
    <w:rsid w:val="00FE7AC3"/>
    <w:rsid w:val="00FE7F1B"/>
    <w:rsid w:val="00FF02A2"/>
    <w:rsid w:val="00FF0585"/>
    <w:rsid w:val="00FF062B"/>
    <w:rsid w:val="00FF070D"/>
    <w:rsid w:val="00FF0895"/>
    <w:rsid w:val="00FF08A7"/>
    <w:rsid w:val="00FF2644"/>
    <w:rsid w:val="00FF283E"/>
    <w:rsid w:val="00FF289F"/>
    <w:rsid w:val="00FF2BA4"/>
    <w:rsid w:val="00FF2D98"/>
    <w:rsid w:val="00FF32B4"/>
    <w:rsid w:val="00FF36C5"/>
    <w:rsid w:val="00FF3D9F"/>
    <w:rsid w:val="00FF40E0"/>
    <w:rsid w:val="00FF4329"/>
    <w:rsid w:val="00FF43D4"/>
    <w:rsid w:val="00FF4645"/>
    <w:rsid w:val="00FF476D"/>
    <w:rsid w:val="00FF525B"/>
    <w:rsid w:val="00FF5498"/>
    <w:rsid w:val="00FF5518"/>
    <w:rsid w:val="00FF5877"/>
    <w:rsid w:val="00FF5E67"/>
    <w:rsid w:val="00FF616F"/>
    <w:rsid w:val="00FF6340"/>
    <w:rsid w:val="00FF6690"/>
    <w:rsid w:val="00FF6BFC"/>
    <w:rsid w:val="00FF755B"/>
    <w:rsid w:val="00FF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0E07F"/>
  <w15:chartTrackingRefBased/>
  <w15:docId w15:val="{D9667D39-D17A-4365-B55A-D8F7F75C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5CA"/>
    <w:rPr>
      <w:rFonts w:ascii="Times New Roman" w:eastAsia="Times New Roman" w:hAnsi="Times New Roman" w:cs="Times New Roman"/>
      <w:color w:val="000000"/>
      <w:sz w:val="28"/>
      <w:szCs w:val="28"/>
      <w:lang w:val="vi-VN" w:eastAsia="vi-VN"/>
    </w:rPr>
  </w:style>
  <w:style w:type="paragraph" w:styleId="Heading1">
    <w:name w:val="heading 1"/>
    <w:basedOn w:val="Normal"/>
    <w:next w:val="Normal"/>
    <w:link w:val="Heading1Char"/>
    <w:autoRedefine/>
    <w:uiPriority w:val="9"/>
    <w:qFormat/>
    <w:rsid w:val="00971393"/>
    <w:pPr>
      <w:keepNext/>
      <w:keepLines/>
      <w:numPr>
        <w:numId w:val="4"/>
      </w:numPr>
      <w:tabs>
        <w:tab w:val="left" w:pos="567"/>
      </w:tabs>
      <w:ind w:left="0" w:hanging="7"/>
      <w:jc w:val="center"/>
      <w:outlineLvl w:val="0"/>
    </w:pPr>
    <w:rPr>
      <w:rFonts w:eastAsia="Calibri" w:cstheme="majorBidi"/>
      <w:b/>
      <w:color w:val="000000" w:themeColor="text1"/>
      <w:sz w:val="22"/>
      <w:szCs w:val="22"/>
    </w:rPr>
  </w:style>
  <w:style w:type="paragraph" w:styleId="Heading2">
    <w:name w:val="heading 2"/>
    <w:basedOn w:val="Normal"/>
    <w:link w:val="Heading2Char"/>
    <w:autoRedefine/>
    <w:uiPriority w:val="9"/>
    <w:qFormat/>
    <w:rsid w:val="007E440B"/>
    <w:pPr>
      <w:keepNext/>
      <w:numPr>
        <w:ilvl w:val="1"/>
        <w:numId w:val="4"/>
      </w:numPr>
      <w:tabs>
        <w:tab w:val="left" w:pos="426"/>
      </w:tabs>
      <w:spacing w:line="340" w:lineRule="exact"/>
      <w:outlineLvl w:val="1"/>
    </w:pPr>
    <w:rPr>
      <w:rFonts w:eastAsiaTheme="majorEastAsia"/>
      <w:b/>
      <w:color w:val="auto"/>
      <w:sz w:val="22"/>
      <w:szCs w:val="22"/>
    </w:rPr>
  </w:style>
  <w:style w:type="paragraph" w:styleId="Heading3">
    <w:name w:val="heading 3"/>
    <w:basedOn w:val="Normal"/>
    <w:link w:val="Heading3Char"/>
    <w:autoRedefine/>
    <w:uiPriority w:val="9"/>
    <w:unhideWhenUsed/>
    <w:qFormat/>
    <w:rsid w:val="00E03FF2"/>
    <w:pPr>
      <w:keepLines/>
      <w:numPr>
        <w:ilvl w:val="2"/>
        <w:numId w:val="4"/>
      </w:numPr>
      <w:tabs>
        <w:tab w:val="left" w:pos="567"/>
      </w:tabs>
      <w:outlineLvl w:val="2"/>
    </w:pPr>
    <w:rPr>
      <w:rFonts w:eastAsiaTheme="majorEastAsia"/>
      <w:iCs/>
      <w:color w:val="auto"/>
      <w:sz w:val="22"/>
      <w:lang w:val="en-US" w:eastAsia="en-US"/>
    </w:rPr>
  </w:style>
  <w:style w:type="paragraph" w:styleId="Heading4">
    <w:name w:val="heading 4"/>
    <w:basedOn w:val="Normal"/>
    <w:link w:val="Heading4Char"/>
    <w:uiPriority w:val="9"/>
    <w:unhideWhenUsed/>
    <w:qFormat/>
    <w:rsid w:val="00C27C2C"/>
    <w:pPr>
      <w:keepNext/>
      <w:keepLines/>
      <w:numPr>
        <w:ilvl w:val="3"/>
        <w:numId w:val="4"/>
      </w:numPr>
      <w:jc w:val="left"/>
      <w:outlineLvl w:val="3"/>
    </w:pPr>
    <w:rPr>
      <w:rFonts w:eastAsiaTheme="majorEastAsia" w:cstheme="majorBidi"/>
      <w:bCs/>
      <w:noProof/>
      <w:color w:val="auto"/>
      <w:sz w:val="22"/>
      <w:lang w:val="en-US"/>
    </w:rPr>
  </w:style>
  <w:style w:type="paragraph" w:styleId="Heading5">
    <w:name w:val="heading 5"/>
    <w:basedOn w:val="a4"/>
    <w:next w:val="Normal"/>
    <w:link w:val="Heading5Char"/>
    <w:uiPriority w:val="9"/>
    <w:unhideWhenUsed/>
    <w:qFormat/>
    <w:rsid w:val="005004B0"/>
    <w:pPr>
      <w:keepNext/>
      <w:keepLines/>
      <w:numPr>
        <w:ilvl w:val="4"/>
        <w:numId w:val="3"/>
      </w:numPr>
      <w:spacing w:before="40"/>
      <w:outlineLvl w:val="4"/>
    </w:pPr>
    <w:rPr>
      <w:rFonts w:eastAsiaTheme="majorEastAsia" w:cstheme="majorBidi"/>
      <w:b w:val="0"/>
      <w:bCs w:val="0"/>
      <w:i w:val="0"/>
      <w:iCs/>
    </w:rPr>
  </w:style>
  <w:style w:type="paragraph" w:styleId="Heading6">
    <w:name w:val="heading 6"/>
    <w:basedOn w:val="Normal"/>
    <w:next w:val="Normal"/>
    <w:link w:val="Heading6Char"/>
    <w:uiPriority w:val="9"/>
    <w:unhideWhenUsed/>
    <w:qFormat/>
    <w:rsid w:val="005004B0"/>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46169"/>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46169"/>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46169"/>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393"/>
    <w:rPr>
      <w:rFonts w:ascii="Times New Roman" w:eastAsia="Calibri" w:hAnsi="Times New Roman" w:cstheme="majorBidi"/>
      <w:b/>
      <w:color w:val="000000" w:themeColor="text1"/>
      <w:lang w:val="vi-VN" w:eastAsia="vi-VN"/>
    </w:rPr>
  </w:style>
  <w:style w:type="character" w:customStyle="1" w:styleId="Heading2Char">
    <w:name w:val="Heading 2 Char"/>
    <w:basedOn w:val="DefaultParagraphFont"/>
    <w:link w:val="Heading2"/>
    <w:uiPriority w:val="9"/>
    <w:rsid w:val="007E440B"/>
    <w:rPr>
      <w:rFonts w:ascii="Times New Roman" w:eastAsiaTheme="majorEastAsia" w:hAnsi="Times New Roman" w:cs="Times New Roman"/>
      <w:b/>
      <w:lang w:val="vi-VN" w:eastAsia="vi-VN"/>
    </w:rPr>
  </w:style>
  <w:style w:type="character" w:customStyle="1" w:styleId="Heading3Char">
    <w:name w:val="Heading 3 Char"/>
    <w:basedOn w:val="DefaultParagraphFont"/>
    <w:link w:val="Heading3"/>
    <w:uiPriority w:val="9"/>
    <w:rsid w:val="00E03FF2"/>
    <w:rPr>
      <w:rFonts w:ascii="Times New Roman" w:eastAsiaTheme="majorEastAsia" w:hAnsi="Times New Roman" w:cs="Times New Roman"/>
      <w:iCs/>
      <w:szCs w:val="28"/>
    </w:rPr>
  </w:style>
  <w:style w:type="paragraph" w:styleId="ListParagraph">
    <w:name w:val="List Paragraph"/>
    <w:basedOn w:val="Normal"/>
    <w:link w:val="ListParagraphChar"/>
    <w:uiPriority w:val="34"/>
    <w:qFormat/>
    <w:rsid w:val="0005075B"/>
    <w:pPr>
      <w:ind w:left="720"/>
      <w:contextualSpacing/>
    </w:pPr>
  </w:style>
  <w:style w:type="character" w:customStyle="1" w:styleId="jlqj4b">
    <w:name w:val="jlqj4b"/>
    <w:basedOn w:val="DefaultParagraphFont"/>
    <w:rsid w:val="0005075B"/>
  </w:style>
  <w:style w:type="character" w:customStyle="1" w:styleId="fontstyle01">
    <w:name w:val="fontstyle01"/>
    <w:basedOn w:val="DefaultParagraphFont"/>
    <w:rsid w:val="0005075B"/>
    <w:rPr>
      <w:rFonts w:ascii="Arial" w:hAnsi="Arial" w:cs="Arial" w:hint="default"/>
      <w:b w:val="0"/>
      <w:bCs w:val="0"/>
      <w:i w:val="0"/>
      <w:iCs w:val="0"/>
      <w:color w:val="000000"/>
      <w:sz w:val="24"/>
      <w:szCs w:val="24"/>
    </w:rPr>
  </w:style>
  <w:style w:type="character" w:customStyle="1" w:styleId="fontstyle21">
    <w:name w:val="fontstyle21"/>
    <w:basedOn w:val="DefaultParagraphFont"/>
    <w:rsid w:val="0005075B"/>
    <w:rPr>
      <w:rFonts w:ascii="Arial" w:hAnsi="Arial" w:cs="Arial" w:hint="default"/>
      <w:b w:val="0"/>
      <w:bCs w:val="0"/>
      <w:i/>
      <w:iCs/>
      <w:color w:val="000000"/>
      <w:sz w:val="24"/>
      <w:szCs w:val="24"/>
    </w:rPr>
  </w:style>
  <w:style w:type="paragraph" w:customStyle="1" w:styleId="EndNoteBibliographyTitle">
    <w:name w:val="EndNote Bibliography Title"/>
    <w:basedOn w:val="Normal"/>
    <w:link w:val="EndNoteBibliographyTitleChar"/>
    <w:rsid w:val="0005075B"/>
    <w:pPr>
      <w:jc w:val="center"/>
    </w:pPr>
    <w:rPr>
      <w:noProof/>
    </w:rPr>
  </w:style>
  <w:style w:type="character" w:customStyle="1" w:styleId="EndNoteBibliographyTitleChar">
    <w:name w:val="EndNote Bibliography Title Char"/>
    <w:basedOn w:val="DefaultParagraphFont"/>
    <w:link w:val="EndNoteBibliographyTitle"/>
    <w:rsid w:val="0005075B"/>
    <w:rPr>
      <w:rFonts w:ascii="Times New Roman" w:eastAsia="Times New Roman" w:hAnsi="Times New Roman" w:cs="Times New Roman"/>
      <w:noProof/>
      <w:color w:val="000000"/>
      <w:sz w:val="28"/>
      <w:szCs w:val="28"/>
      <w:lang w:val="vi-VN" w:eastAsia="vi-VN"/>
    </w:rPr>
  </w:style>
  <w:style w:type="paragraph" w:customStyle="1" w:styleId="EndNoteBibliography">
    <w:name w:val="EndNote Bibliography"/>
    <w:basedOn w:val="Normal"/>
    <w:link w:val="EndNoteBibliographyChar"/>
    <w:rsid w:val="0005075B"/>
    <w:pPr>
      <w:spacing w:line="240" w:lineRule="auto"/>
      <w:jc w:val="center"/>
    </w:pPr>
    <w:rPr>
      <w:noProof/>
    </w:rPr>
  </w:style>
  <w:style w:type="character" w:customStyle="1" w:styleId="EndNoteBibliographyChar">
    <w:name w:val="EndNote Bibliography Char"/>
    <w:basedOn w:val="DefaultParagraphFont"/>
    <w:link w:val="EndNoteBibliography"/>
    <w:rsid w:val="0005075B"/>
    <w:rPr>
      <w:rFonts w:ascii="Times New Roman" w:eastAsia="Times New Roman" w:hAnsi="Times New Roman" w:cs="Times New Roman"/>
      <w:noProof/>
      <w:color w:val="000000"/>
      <w:sz w:val="28"/>
      <w:szCs w:val="28"/>
      <w:lang w:val="vi-VN" w:eastAsia="vi-VN"/>
    </w:rPr>
  </w:style>
  <w:style w:type="character" w:styleId="Hyperlink">
    <w:name w:val="Hyperlink"/>
    <w:basedOn w:val="DefaultParagraphFont"/>
    <w:uiPriority w:val="99"/>
    <w:unhideWhenUsed/>
    <w:rsid w:val="0005075B"/>
    <w:rPr>
      <w:color w:val="0563C1" w:themeColor="hyperlink"/>
      <w:u w:val="single"/>
    </w:rPr>
  </w:style>
  <w:style w:type="paragraph" w:styleId="Header">
    <w:name w:val="header"/>
    <w:basedOn w:val="Normal"/>
    <w:link w:val="HeaderChar"/>
    <w:uiPriority w:val="99"/>
    <w:unhideWhenUsed/>
    <w:rsid w:val="0005075B"/>
    <w:pPr>
      <w:tabs>
        <w:tab w:val="center" w:pos="4513"/>
        <w:tab w:val="right" w:pos="9026"/>
      </w:tabs>
    </w:pPr>
  </w:style>
  <w:style w:type="character" w:customStyle="1" w:styleId="HeaderChar">
    <w:name w:val="Header Char"/>
    <w:basedOn w:val="DefaultParagraphFont"/>
    <w:link w:val="Header"/>
    <w:uiPriority w:val="99"/>
    <w:rsid w:val="0005075B"/>
    <w:rPr>
      <w:rFonts w:ascii=".VnTime" w:eastAsia="Times New Roman" w:hAnsi=".VnTime" w:cs="Times New Roman"/>
      <w:sz w:val="28"/>
      <w:szCs w:val="28"/>
    </w:rPr>
  </w:style>
  <w:style w:type="paragraph" w:styleId="Footer">
    <w:name w:val="footer"/>
    <w:basedOn w:val="Normal"/>
    <w:link w:val="FooterChar"/>
    <w:uiPriority w:val="99"/>
    <w:unhideWhenUsed/>
    <w:rsid w:val="0005075B"/>
    <w:pPr>
      <w:tabs>
        <w:tab w:val="center" w:pos="4513"/>
        <w:tab w:val="right" w:pos="9026"/>
      </w:tabs>
    </w:pPr>
  </w:style>
  <w:style w:type="character" w:customStyle="1" w:styleId="FooterChar">
    <w:name w:val="Footer Char"/>
    <w:basedOn w:val="DefaultParagraphFont"/>
    <w:link w:val="Footer"/>
    <w:uiPriority w:val="99"/>
    <w:rsid w:val="0005075B"/>
    <w:rPr>
      <w:rFonts w:ascii=".VnTime" w:eastAsia="Times New Roman" w:hAnsi=".VnTime" w:cs="Times New Roman"/>
      <w:sz w:val="28"/>
      <w:szCs w:val="28"/>
    </w:rPr>
  </w:style>
  <w:style w:type="paragraph" w:styleId="BodyText">
    <w:name w:val="Body Text"/>
    <w:basedOn w:val="Normal"/>
    <w:link w:val="BodyTextChar"/>
    <w:rsid w:val="0005075B"/>
    <w:rPr>
      <w:szCs w:val="20"/>
    </w:rPr>
  </w:style>
  <w:style w:type="character" w:customStyle="1" w:styleId="BodyTextChar">
    <w:name w:val="Body Text Char"/>
    <w:basedOn w:val="DefaultParagraphFont"/>
    <w:link w:val="BodyText"/>
    <w:rsid w:val="0005075B"/>
    <w:rPr>
      <w:rFonts w:ascii=".VnTime" w:eastAsia="Times New Roman" w:hAnsi=".VnTime" w:cs="Times New Roman"/>
      <w:sz w:val="28"/>
      <w:szCs w:val="20"/>
    </w:rPr>
  </w:style>
  <w:style w:type="character" w:styleId="LineNumber">
    <w:name w:val="line number"/>
    <w:basedOn w:val="DefaultParagraphFont"/>
    <w:uiPriority w:val="99"/>
    <w:semiHidden/>
    <w:unhideWhenUsed/>
    <w:rsid w:val="0005075B"/>
  </w:style>
  <w:style w:type="character" w:styleId="PlaceholderText">
    <w:name w:val="Placeholder Text"/>
    <w:basedOn w:val="DefaultParagraphFont"/>
    <w:uiPriority w:val="99"/>
    <w:semiHidden/>
    <w:rsid w:val="0005075B"/>
    <w:rPr>
      <w:color w:val="808080"/>
    </w:rPr>
  </w:style>
  <w:style w:type="paragraph" w:styleId="BalloonText">
    <w:name w:val="Balloon Text"/>
    <w:basedOn w:val="Normal"/>
    <w:link w:val="BalloonTextChar"/>
    <w:uiPriority w:val="99"/>
    <w:semiHidden/>
    <w:unhideWhenUsed/>
    <w:rsid w:val="000507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075B"/>
    <w:rPr>
      <w:rFonts w:ascii="Segoe UI" w:eastAsia="Times New Roman" w:hAnsi="Segoe UI" w:cs="Segoe UI"/>
      <w:sz w:val="18"/>
      <w:szCs w:val="18"/>
    </w:rPr>
  </w:style>
  <w:style w:type="paragraph" w:customStyle="1" w:styleId="a1">
    <w:name w:val="a1"/>
    <w:link w:val="a1Char"/>
    <w:autoRedefine/>
    <w:rsid w:val="009B59E5"/>
    <w:pPr>
      <w:tabs>
        <w:tab w:val="left" w:pos="426"/>
        <w:tab w:val="left" w:pos="567"/>
      </w:tabs>
    </w:pPr>
    <w:rPr>
      <w:rFonts w:ascii="Times New Roman" w:eastAsia="Calibri" w:hAnsi="Times New Roman" w:cs="Times New Roman"/>
      <w:bCs/>
      <w:spacing w:val="-2"/>
      <w:sz w:val="28"/>
      <w:szCs w:val="28"/>
    </w:rPr>
  </w:style>
  <w:style w:type="paragraph" w:customStyle="1" w:styleId="a">
    <w:name w:val="a"/>
    <w:basedOn w:val="ListParagraph"/>
    <w:link w:val="aChar"/>
    <w:rsid w:val="001B278E"/>
    <w:pPr>
      <w:ind w:left="0"/>
      <w:contextualSpacing w:val="0"/>
    </w:pPr>
    <w:rPr>
      <w:b/>
    </w:rPr>
  </w:style>
  <w:style w:type="character" w:customStyle="1" w:styleId="a1Char">
    <w:name w:val="a1 Char"/>
    <w:basedOn w:val="DefaultParagraphFont"/>
    <w:link w:val="a1"/>
    <w:rsid w:val="009B59E5"/>
    <w:rPr>
      <w:rFonts w:ascii="Times New Roman" w:eastAsia="Calibri" w:hAnsi="Times New Roman" w:cs="Times New Roman"/>
      <w:bCs/>
      <w:spacing w:val="-2"/>
      <w:sz w:val="28"/>
      <w:szCs w:val="28"/>
    </w:rPr>
  </w:style>
  <w:style w:type="table" w:styleId="TableGrid">
    <w:name w:val="Table Grid"/>
    <w:basedOn w:val="TableNormal"/>
    <w:uiPriority w:val="59"/>
    <w:rsid w:val="0005075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05075B"/>
    <w:rPr>
      <w:rFonts w:ascii=".VnTime" w:eastAsia="Times New Roman" w:hAnsi=".VnTime" w:cs="Times New Roman"/>
      <w:sz w:val="28"/>
      <w:szCs w:val="28"/>
    </w:rPr>
  </w:style>
  <w:style w:type="character" w:customStyle="1" w:styleId="aChar">
    <w:name w:val="a Char"/>
    <w:basedOn w:val="ListParagraphChar"/>
    <w:link w:val="a"/>
    <w:rsid w:val="001B278E"/>
    <w:rPr>
      <w:rFonts w:ascii="Times New Roman" w:eastAsia="Times New Roman" w:hAnsi="Times New Roman" w:cs="Times New Roman"/>
      <w:b/>
      <w:sz w:val="28"/>
      <w:szCs w:val="28"/>
    </w:rPr>
  </w:style>
  <w:style w:type="paragraph" w:customStyle="1" w:styleId="a2">
    <w:name w:val="a2"/>
    <w:basedOn w:val="Normal"/>
    <w:link w:val="a2Char"/>
    <w:qFormat/>
    <w:rsid w:val="00AD1846"/>
    <w:rPr>
      <w:rFonts w:eastAsia="Calibri"/>
      <w:b/>
      <w:color w:val="auto"/>
    </w:rPr>
  </w:style>
  <w:style w:type="paragraph" w:customStyle="1" w:styleId="a3">
    <w:name w:val="a3"/>
    <w:basedOn w:val="ListParagraph"/>
    <w:link w:val="a3Char"/>
    <w:rsid w:val="00EA71F9"/>
    <w:pPr>
      <w:tabs>
        <w:tab w:val="left" w:pos="851"/>
      </w:tabs>
      <w:ind w:left="0"/>
    </w:pPr>
    <w:rPr>
      <w:rFonts w:eastAsia="Calibri"/>
      <w:b/>
      <w:bCs/>
      <w:i/>
    </w:rPr>
  </w:style>
  <w:style w:type="character" w:customStyle="1" w:styleId="a2Char">
    <w:name w:val="a2 Char"/>
    <w:basedOn w:val="DefaultParagraphFont"/>
    <w:link w:val="a2"/>
    <w:rsid w:val="00AD1846"/>
    <w:rPr>
      <w:rFonts w:ascii="Times New Roman" w:eastAsia="Calibri" w:hAnsi="Times New Roman" w:cs="Times New Roman"/>
      <w:b/>
      <w:sz w:val="28"/>
      <w:szCs w:val="28"/>
      <w:lang w:val="vi-VN" w:eastAsia="vi-VN"/>
    </w:rPr>
  </w:style>
  <w:style w:type="paragraph" w:styleId="TOC3">
    <w:name w:val="toc 3"/>
    <w:basedOn w:val="Normal"/>
    <w:next w:val="Normal"/>
    <w:autoRedefine/>
    <w:uiPriority w:val="39"/>
    <w:unhideWhenUsed/>
    <w:rsid w:val="00E85BAF"/>
    <w:pPr>
      <w:tabs>
        <w:tab w:val="right" w:leader="dot" w:pos="9062"/>
      </w:tabs>
      <w:ind w:left="280"/>
    </w:pPr>
    <w:rPr>
      <w:rFonts w:asciiTheme="minorHAnsi" w:hAnsiTheme="minorHAnsi" w:cstheme="minorHAnsi"/>
      <w:sz w:val="20"/>
      <w:szCs w:val="20"/>
    </w:rPr>
  </w:style>
  <w:style w:type="character" w:customStyle="1" w:styleId="a3Char">
    <w:name w:val="a3 Char"/>
    <w:basedOn w:val="DefaultParagraphFont"/>
    <w:link w:val="a3"/>
    <w:rsid w:val="00EA71F9"/>
    <w:rPr>
      <w:rFonts w:ascii="Times New Roman" w:eastAsia="Calibri" w:hAnsi="Times New Roman" w:cs="Times New Roman"/>
      <w:b/>
      <w:bCs/>
      <w:i/>
      <w:color w:val="000000"/>
      <w:sz w:val="28"/>
      <w:szCs w:val="28"/>
      <w:lang w:val="vi-VN" w:eastAsia="vi-VN"/>
    </w:rPr>
  </w:style>
  <w:style w:type="paragraph" w:styleId="TOC1">
    <w:name w:val="toc 1"/>
    <w:basedOn w:val="Normal"/>
    <w:next w:val="Normal"/>
    <w:autoRedefine/>
    <w:uiPriority w:val="39"/>
    <w:unhideWhenUsed/>
    <w:rsid w:val="00E85BAF"/>
    <w:pPr>
      <w:tabs>
        <w:tab w:val="left" w:pos="1400"/>
        <w:tab w:val="right" w:leader="dot" w:pos="9062"/>
      </w:tabs>
      <w:jc w:val="left"/>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05075B"/>
    <w:pPr>
      <w:spacing w:before="240"/>
      <w:jc w:val="left"/>
    </w:pPr>
    <w:rPr>
      <w:rFonts w:asciiTheme="minorHAnsi" w:hAnsiTheme="minorHAnsi" w:cstheme="minorHAnsi"/>
      <w:b/>
      <w:bCs/>
      <w:sz w:val="20"/>
      <w:szCs w:val="20"/>
    </w:rPr>
  </w:style>
  <w:style w:type="paragraph" w:styleId="TOC4">
    <w:name w:val="toc 4"/>
    <w:basedOn w:val="Normal"/>
    <w:next w:val="Normal"/>
    <w:autoRedefine/>
    <w:uiPriority w:val="39"/>
    <w:unhideWhenUsed/>
    <w:rsid w:val="0005075B"/>
    <w:pPr>
      <w:ind w:left="560"/>
      <w:jc w:val="left"/>
    </w:pPr>
    <w:rPr>
      <w:rFonts w:asciiTheme="minorHAnsi" w:hAnsiTheme="minorHAnsi" w:cstheme="minorHAnsi"/>
      <w:sz w:val="20"/>
      <w:szCs w:val="20"/>
    </w:rPr>
  </w:style>
  <w:style w:type="paragraph" w:styleId="TOC5">
    <w:name w:val="toc 5"/>
    <w:basedOn w:val="Normal"/>
    <w:next w:val="Normal"/>
    <w:autoRedefine/>
    <w:uiPriority w:val="39"/>
    <w:unhideWhenUsed/>
    <w:rsid w:val="0005075B"/>
    <w:pPr>
      <w:ind w:left="840"/>
      <w:jc w:val="left"/>
    </w:pPr>
    <w:rPr>
      <w:rFonts w:asciiTheme="minorHAnsi" w:hAnsiTheme="minorHAnsi" w:cstheme="minorHAnsi"/>
      <w:sz w:val="20"/>
      <w:szCs w:val="20"/>
    </w:rPr>
  </w:style>
  <w:style w:type="paragraph" w:styleId="TOC6">
    <w:name w:val="toc 6"/>
    <w:basedOn w:val="Normal"/>
    <w:next w:val="Normal"/>
    <w:autoRedefine/>
    <w:uiPriority w:val="39"/>
    <w:unhideWhenUsed/>
    <w:rsid w:val="0005075B"/>
    <w:pPr>
      <w:ind w:left="1120"/>
      <w:jc w:val="left"/>
    </w:pPr>
    <w:rPr>
      <w:rFonts w:asciiTheme="minorHAnsi" w:hAnsiTheme="minorHAnsi" w:cstheme="minorHAnsi"/>
      <w:sz w:val="20"/>
      <w:szCs w:val="20"/>
    </w:rPr>
  </w:style>
  <w:style w:type="paragraph" w:styleId="TOC7">
    <w:name w:val="toc 7"/>
    <w:basedOn w:val="Normal"/>
    <w:next w:val="Normal"/>
    <w:autoRedefine/>
    <w:uiPriority w:val="39"/>
    <w:unhideWhenUsed/>
    <w:rsid w:val="0005075B"/>
    <w:pPr>
      <w:ind w:left="1400"/>
      <w:jc w:val="left"/>
    </w:pPr>
    <w:rPr>
      <w:rFonts w:asciiTheme="minorHAnsi" w:hAnsiTheme="minorHAnsi" w:cstheme="minorHAnsi"/>
      <w:sz w:val="20"/>
      <w:szCs w:val="20"/>
    </w:rPr>
  </w:style>
  <w:style w:type="paragraph" w:styleId="TOC8">
    <w:name w:val="toc 8"/>
    <w:basedOn w:val="Normal"/>
    <w:next w:val="Normal"/>
    <w:autoRedefine/>
    <w:uiPriority w:val="39"/>
    <w:unhideWhenUsed/>
    <w:rsid w:val="0005075B"/>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rsid w:val="0005075B"/>
    <w:pPr>
      <w:ind w:left="1960"/>
      <w:jc w:val="left"/>
    </w:pPr>
    <w:rPr>
      <w:rFonts w:asciiTheme="minorHAnsi" w:hAnsiTheme="minorHAnsi" w:cstheme="minorHAnsi"/>
      <w:sz w:val="20"/>
      <w:szCs w:val="20"/>
    </w:rPr>
  </w:style>
  <w:style w:type="paragraph" w:customStyle="1" w:styleId="Anh">
    <w:name w:val="Anh"/>
    <w:basedOn w:val="Normal"/>
    <w:link w:val="AnhChar"/>
    <w:qFormat/>
    <w:rsid w:val="0005075B"/>
    <w:pPr>
      <w:tabs>
        <w:tab w:val="left" w:pos="851"/>
      </w:tabs>
      <w:jc w:val="center"/>
    </w:pPr>
    <w:rPr>
      <w:b/>
      <w:i/>
    </w:rPr>
  </w:style>
  <w:style w:type="paragraph" w:customStyle="1" w:styleId="vt">
    <w:name w:val="vt"/>
    <w:basedOn w:val="Normal"/>
    <w:link w:val="vtChar"/>
    <w:qFormat/>
    <w:rsid w:val="0005075B"/>
    <w:pPr>
      <w:tabs>
        <w:tab w:val="left" w:pos="851"/>
      </w:tabs>
    </w:pPr>
  </w:style>
  <w:style w:type="character" w:customStyle="1" w:styleId="AnhChar">
    <w:name w:val="Anh Char"/>
    <w:basedOn w:val="DefaultParagraphFont"/>
    <w:link w:val="Anh"/>
    <w:rsid w:val="0005075B"/>
    <w:rPr>
      <w:rFonts w:ascii="Times New Roman" w:eastAsia="Times New Roman" w:hAnsi="Times New Roman" w:cs="Times New Roman"/>
      <w:b/>
      <w:i/>
      <w:sz w:val="28"/>
      <w:szCs w:val="28"/>
    </w:rPr>
  </w:style>
  <w:style w:type="character" w:customStyle="1" w:styleId="vtChar">
    <w:name w:val="vt Char"/>
    <w:basedOn w:val="DefaultParagraphFont"/>
    <w:link w:val="vt"/>
    <w:rsid w:val="0005075B"/>
    <w:rPr>
      <w:rFonts w:ascii="Times New Roman" w:eastAsia="Times New Roman" w:hAnsi="Times New Roman" w:cs="Times New Roman"/>
      <w:sz w:val="28"/>
      <w:szCs w:val="28"/>
    </w:rPr>
  </w:style>
  <w:style w:type="paragraph" w:styleId="TOCHeading">
    <w:name w:val="TOC Heading"/>
    <w:basedOn w:val="Heading1"/>
    <w:next w:val="Normal"/>
    <w:uiPriority w:val="39"/>
    <w:unhideWhenUsed/>
    <w:qFormat/>
    <w:rsid w:val="0005075B"/>
    <w:pPr>
      <w:spacing w:line="259" w:lineRule="auto"/>
      <w:outlineLvl w:val="9"/>
    </w:pPr>
  </w:style>
  <w:style w:type="paragraph" w:customStyle="1" w:styleId="bng">
    <w:name w:val="bảng"/>
    <w:basedOn w:val="Normal"/>
    <w:link w:val="bngChar"/>
    <w:qFormat/>
    <w:rsid w:val="00D0480A"/>
    <w:pPr>
      <w:spacing w:line="240" w:lineRule="auto"/>
      <w:jc w:val="left"/>
    </w:pPr>
    <w:rPr>
      <w:b/>
      <w:bCs/>
      <w:iCs/>
      <w:sz w:val="26"/>
      <w:szCs w:val="26"/>
    </w:rPr>
  </w:style>
  <w:style w:type="paragraph" w:customStyle="1" w:styleId="1hnh">
    <w:name w:val="1hình"/>
    <w:basedOn w:val="Normal"/>
    <w:link w:val="1hnhChar"/>
    <w:qFormat/>
    <w:rsid w:val="00DB56BC"/>
    <w:pPr>
      <w:jc w:val="center"/>
    </w:pPr>
    <w:rPr>
      <w:bCs/>
      <w:iCs/>
      <w:color w:val="auto"/>
      <w:lang w:val="en-US"/>
    </w:rPr>
  </w:style>
  <w:style w:type="character" w:customStyle="1" w:styleId="bngChar">
    <w:name w:val="bảng Char"/>
    <w:basedOn w:val="DefaultParagraphFont"/>
    <w:link w:val="bng"/>
    <w:rsid w:val="00D0480A"/>
    <w:rPr>
      <w:rFonts w:ascii="Times New Roman" w:eastAsia="Times New Roman" w:hAnsi="Times New Roman" w:cs="Times New Roman"/>
      <w:b/>
      <w:bCs/>
      <w:iCs/>
      <w:color w:val="000000"/>
      <w:sz w:val="26"/>
      <w:szCs w:val="26"/>
      <w:lang w:val="vi-VN" w:eastAsia="vi-VN"/>
    </w:rPr>
  </w:style>
  <w:style w:type="character" w:customStyle="1" w:styleId="1hnhChar">
    <w:name w:val="1hình Char"/>
    <w:basedOn w:val="DefaultParagraphFont"/>
    <w:link w:val="1hnh"/>
    <w:rsid w:val="00DB56BC"/>
    <w:rPr>
      <w:rFonts w:ascii="Times New Roman" w:eastAsia="Times New Roman" w:hAnsi="Times New Roman" w:cs="Times New Roman"/>
      <w:bCs/>
      <w:iCs/>
      <w:sz w:val="28"/>
      <w:szCs w:val="28"/>
      <w:lang w:eastAsia="vi-VN"/>
    </w:rPr>
  </w:style>
  <w:style w:type="paragraph" w:customStyle="1" w:styleId="a4">
    <w:name w:val="a4"/>
    <w:basedOn w:val="Normal"/>
    <w:rsid w:val="000F24AE"/>
    <w:rPr>
      <w:b/>
      <w:bCs/>
      <w:i/>
      <w:color w:val="auto"/>
    </w:rPr>
  </w:style>
  <w:style w:type="character" w:styleId="UnresolvedMention">
    <w:name w:val="Unresolved Mention"/>
    <w:basedOn w:val="DefaultParagraphFont"/>
    <w:uiPriority w:val="99"/>
    <w:semiHidden/>
    <w:unhideWhenUsed/>
    <w:rsid w:val="00635D60"/>
    <w:rPr>
      <w:color w:val="605E5C"/>
      <w:shd w:val="clear" w:color="auto" w:fill="E1DFDD"/>
    </w:rPr>
  </w:style>
  <w:style w:type="paragraph" w:customStyle="1" w:styleId="nh">
    <w:name w:val="ảnh"/>
    <w:basedOn w:val="Heading3"/>
    <w:link w:val="nhChar"/>
    <w:qFormat/>
    <w:rsid w:val="00C51AC3"/>
    <w:pPr>
      <w:tabs>
        <w:tab w:val="left" w:pos="426"/>
      </w:tabs>
      <w:jc w:val="center"/>
    </w:pPr>
    <w:rPr>
      <w:b/>
      <w:bCs/>
      <w:i/>
      <w:iCs w:val="0"/>
    </w:rPr>
  </w:style>
  <w:style w:type="character" w:customStyle="1" w:styleId="nhChar">
    <w:name w:val="ảnh Char"/>
    <w:basedOn w:val="Heading3Char"/>
    <w:link w:val="nh"/>
    <w:rsid w:val="00C51AC3"/>
    <w:rPr>
      <w:rFonts w:ascii="Times New Roman" w:eastAsiaTheme="majorEastAsia" w:hAnsi="Times New Roman" w:cs="Times New Roman"/>
      <w:b/>
      <w:bCs/>
      <w:i/>
      <w:iCs w:val="0"/>
      <w:szCs w:val="28"/>
    </w:rPr>
  </w:style>
  <w:style w:type="table" w:styleId="PlainTable2">
    <w:name w:val="Plain Table 2"/>
    <w:basedOn w:val="TableNormal"/>
    <w:uiPriority w:val="42"/>
    <w:rsid w:val="000F24AE"/>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2E442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E4420"/>
    <w:pPr>
      <w:spacing w:line="240" w:lineRule="auto"/>
    </w:pPr>
  </w:style>
  <w:style w:type="paragraph" w:styleId="TableofFigures">
    <w:name w:val="table of figures"/>
    <w:basedOn w:val="Normal"/>
    <w:next w:val="Normal"/>
    <w:uiPriority w:val="99"/>
    <w:unhideWhenUsed/>
    <w:rsid w:val="00B32B3F"/>
    <w:pPr>
      <w:ind w:left="560" w:hanging="560"/>
      <w:jc w:val="left"/>
    </w:pPr>
    <w:rPr>
      <w:rFonts w:asciiTheme="minorHAnsi" w:hAnsiTheme="minorHAnsi" w:cstheme="minorHAnsi"/>
      <w:b/>
      <w:bCs/>
      <w:sz w:val="20"/>
      <w:szCs w:val="20"/>
    </w:rPr>
  </w:style>
  <w:style w:type="paragraph" w:customStyle="1" w:styleId="EndNoteCategoryHeading">
    <w:name w:val="EndNote Category Heading"/>
    <w:basedOn w:val="Normal"/>
    <w:link w:val="EndNoteCategoryHeadingChar"/>
    <w:rsid w:val="002E4420"/>
    <w:pPr>
      <w:spacing w:before="120" w:after="120" w:line="259" w:lineRule="auto"/>
      <w:jc w:val="left"/>
    </w:pPr>
    <w:rPr>
      <w:rFonts w:asciiTheme="minorHAnsi" w:eastAsiaTheme="minorHAnsi" w:hAnsiTheme="minorHAnsi" w:cstheme="minorBidi"/>
      <w:b/>
      <w:noProof/>
      <w:color w:val="auto"/>
      <w:sz w:val="22"/>
      <w:szCs w:val="22"/>
      <w:lang w:val="en-US" w:eastAsia="en-US"/>
    </w:rPr>
  </w:style>
  <w:style w:type="character" w:customStyle="1" w:styleId="EndNoteCategoryHeadingChar">
    <w:name w:val="EndNote Category Heading Char"/>
    <w:basedOn w:val="DefaultParagraphFont"/>
    <w:link w:val="EndNoteCategoryHeading"/>
    <w:rsid w:val="002E4420"/>
    <w:rPr>
      <w:b/>
      <w:noProof/>
    </w:rPr>
  </w:style>
  <w:style w:type="character" w:styleId="FollowedHyperlink">
    <w:name w:val="FollowedHyperlink"/>
    <w:basedOn w:val="DefaultParagraphFont"/>
    <w:uiPriority w:val="99"/>
    <w:semiHidden/>
    <w:unhideWhenUsed/>
    <w:rsid w:val="002E4420"/>
    <w:rPr>
      <w:color w:val="954F72" w:themeColor="followedHyperlink"/>
      <w:u w:val="single"/>
    </w:rPr>
  </w:style>
  <w:style w:type="paragraph" w:styleId="NormalWeb">
    <w:name w:val="Normal (Web)"/>
    <w:basedOn w:val="Normal"/>
    <w:link w:val="NormalWebChar"/>
    <w:uiPriority w:val="99"/>
    <w:unhideWhenUsed/>
    <w:rsid w:val="00E051C2"/>
    <w:pPr>
      <w:spacing w:before="100" w:beforeAutospacing="1" w:after="100" w:afterAutospacing="1" w:line="240" w:lineRule="auto"/>
      <w:jc w:val="left"/>
    </w:pPr>
    <w:rPr>
      <w:color w:val="auto"/>
      <w:sz w:val="24"/>
      <w:szCs w:val="24"/>
      <w:lang w:eastAsia="en-US"/>
    </w:rPr>
  </w:style>
  <w:style w:type="character" w:customStyle="1" w:styleId="NormalWebChar">
    <w:name w:val="Normal (Web) Char"/>
    <w:basedOn w:val="DefaultParagraphFont"/>
    <w:link w:val="NormalWeb"/>
    <w:uiPriority w:val="99"/>
    <w:rsid w:val="00E051C2"/>
    <w:rPr>
      <w:rFonts w:ascii="Times New Roman" w:eastAsia="Times New Roman" w:hAnsi="Times New Roman" w:cs="Times New Roman"/>
      <w:sz w:val="24"/>
      <w:szCs w:val="24"/>
      <w:lang w:val="vi-VN"/>
    </w:rPr>
  </w:style>
  <w:style w:type="paragraph" w:customStyle="1" w:styleId="bang">
    <w:name w:val="bang"/>
    <w:basedOn w:val="NormalWeb"/>
    <w:link w:val="bangChar"/>
    <w:qFormat/>
    <w:rsid w:val="00E051C2"/>
    <w:pPr>
      <w:spacing w:after="0" w:line="360" w:lineRule="auto"/>
      <w:jc w:val="both"/>
    </w:pPr>
    <w:rPr>
      <w:b/>
      <w:bCs/>
      <w:color w:val="000000"/>
      <w:sz w:val="28"/>
      <w:szCs w:val="28"/>
    </w:rPr>
  </w:style>
  <w:style w:type="character" w:customStyle="1" w:styleId="bangChar">
    <w:name w:val="bang Char"/>
    <w:basedOn w:val="NormalWebChar"/>
    <w:link w:val="bang"/>
    <w:rsid w:val="00E051C2"/>
    <w:rPr>
      <w:rFonts w:ascii="Times New Roman" w:eastAsia="Times New Roman" w:hAnsi="Times New Roman" w:cs="Times New Roman"/>
      <w:b/>
      <w:bCs/>
      <w:color w:val="000000"/>
      <w:sz w:val="28"/>
      <w:szCs w:val="28"/>
      <w:lang w:val="vi-VN"/>
    </w:rPr>
  </w:style>
  <w:style w:type="paragraph" w:customStyle="1" w:styleId="TableParagraph">
    <w:name w:val="Table Paragraph"/>
    <w:basedOn w:val="Normal"/>
    <w:uiPriority w:val="1"/>
    <w:qFormat/>
    <w:rsid w:val="00E051C2"/>
    <w:pPr>
      <w:widowControl w:val="0"/>
      <w:autoSpaceDE w:val="0"/>
      <w:autoSpaceDN w:val="0"/>
      <w:spacing w:line="240" w:lineRule="auto"/>
      <w:jc w:val="center"/>
    </w:pPr>
    <w:rPr>
      <w:color w:val="auto"/>
      <w:sz w:val="22"/>
      <w:szCs w:val="22"/>
      <w:lang w:val="vi" w:eastAsia="en-US"/>
    </w:rPr>
  </w:style>
  <w:style w:type="character" w:customStyle="1" w:styleId="Heading4Char">
    <w:name w:val="Heading 4 Char"/>
    <w:basedOn w:val="DefaultParagraphFont"/>
    <w:link w:val="Heading4"/>
    <w:uiPriority w:val="9"/>
    <w:rsid w:val="00C27C2C"/>
    <w:rPr>
      <w:rFonts w:ascii="Times New Roman" w:eastAsiaTheme="majorEastAsia" w:hAnsi="Times New Roman" w:cstheme="majorBidi"/>
      <w:bCs/>
      <w:noProof/>
      <w:szCs w:val="28"/>
      <w:lang w:eastAsia="vi-VN"/>
    </w:rPr>
  </w:style>
  <w:style w:type="character" w:customStyle="1" w:styleId="Heading5Char">
    <w:name w:val="Heading 5 Char"/>
    <w:basedOn w:val="DefaultParagraphFont"/>
    <w:link w:val="Heading5"/>
    <w:uiPriority w:val="9"/>
    <w:rsid w:val="005004B0"/>
    <w:rPr>
      <w:rFonts w:ascii="Times New Roman" w:eastAsiaTheme="majorEastAsia" w:hAnsi="Times New Roman" w:cstheme="majorBidi"/>
      <w:iCs/>
      <w:sz w:val="28"/>
      <w:szCs w:val="28"/>
      <w:lang w:val="vi-VN" w:eastAsia="vi-VN"/>
    </w:rPr>
  </w:style>
  <w:style w:type="character" w:styleId="CommentReference">
    <w:name w:val="annotation reference"/>
    <w:basedOn w:val="DefaultParagraphFont"/>
    <w:uiPriority w:val="99"/>
    <w:semiHidden/>
    <w:unhideWhenUsed/>
    <w:rsid w:val="00FD0DB3"/>
    <w:rPr>
      <w:sz w:val="16"/>
      <w:szCs w:val="16"/>
    </w:rPr>
  </w:style>
  <w:style w:type="paragraph" w:styleId="CommentText">
    <w:name w:val="annotation text"/>
    <w:basedOn w:val="Normal"/>
    <w:link w:val="CommentTextChar"/>
    <w:uiPriority w:val="99"/>
    <w:semiHidden/>
    <w:unhideWhenUsed/>
    <w:rsid w:val="00FD0DB3"/>
    <w:pPr>
      <w:spacing w:line="240" w:lineRule="auto"/>
    </w:pPr>
    <w:rPr>
      <w:sz w:val="20"/>
      <w:szCs w:val="20"/>
    </w:rPr>
  </w:style>
  <w:style w:type="character" w:customStyle="1" w:styleId="CommentTextChar">
    <w:name w:val="Comment Text Char"/>
    <w:basedOn w:val="DefaultParagraphFont"/>
    <w:link w:val="CommentText"/>
    <w:uiPriority w:val="99"/>
    <w:semiHidden/>
    <w:rsid w:val="00FD0DB3"/>
    <w:rPr>
      <w:rFonts w:ascii="Times New Roman" w:eastAsia="Times New Roman" w:hAnsi="Times New Roman" w:cs="Times New Roman"/>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FD0DB3"/>
    <w:rPr>
      <w:b/>
      <w:bCs/>
    </w:rPr>
  </w:style>
  <w:style w:type="character" w:customStyle="1" w:styleId="CommentSubjectChar">
    <w:name w:val="Comment Subject Char"/>
    <w:basedOn w:val="CommentTextChar"/>
    <w:link w:val="CommentSubject"/>
    <w:uiPriority w:val="99"/>
    <w:semiHidden/>
    <w:rsid w:val="00FD0DB3"/>
    <w:rPr>
      <w:rFonts w:ascii="Times New Roman" w:eastAsia="Times New Roman" w:hAnsi="Times New Roman" w:cs="Times New Roman"/>
      <w:b/>
      <w:bCs/>
      <w:color w:val="000000"/>
      <w:sz w:val="20"/>
      <w:szCs w:val="20"/>
      <w:lang w:val="vi-VN" w:eastAsia="vi-VN"/>
    </w:rPr>
  </w:style>
  <w:style w:type="character" w:styleId="Strong">
    <w:name w:val="Strong"/>
    <w:basedOn w:val="DefaultParagraphFont"/>
    <w:uiPriority w:val="22"/>
    <w:qFormat/>
    <w:rsid w:val="00B8235E"/>
    <w:rPr>
      <w:b/>
      <w:bCs/>
    </w:rPr>
  </w:style>
  <w:style w:type="paragraph" w:customStyle="1" w:styleId="1Bieudo">
    <w:name w:val="1Bieudo"/>
    <w:basedOn w:val="Normal"/>
    <w:link w:val="1BieudoChar"/>
    <w:qFormat/>
    <w:rsid w:val="00DB56BC"/>
    <w:pPr>
      <w:autoSpaceDE w:val="0"/>
      <w:autoSpaceDN w:val="0"/>
      <w:adjustRightInd w:val="0"/>
      <w:spacing w:before="120"/>
      <w:jc w:val="center"/>
    </w:pPr>
    <w:rPr>
      <w:rFonts w:eastAsiaTheme="minorHAnsi"/>
      <w:iCs/>
      <w:color w:val="auto"/>
      <w:lang w:eastAsia="en-US"/>
    </w:rPr>
  </w:style>
  <w:style w:type="paragraph" w:customStyle="1" w:styleId="1Bang">
    <w:name w:val="1Bang"/>
    <w:basedOn w:val="Normal"/>
    <w:link w:val="1BangChar"/>
    <w:qFormat/>
    <w:rsid w:val="00066E31"/>
    <w:pPr>
      <w:autoSpaceDE w:val="0"/>
      <w:autoSpaceDN w:val="0"/>
      <w:adjustRightInd w:val="0"/>
      <w:jc w:val="center"/>
    </w:pPr>
    <w:rPr>
      <w:rFonts w:eastAsiaTheme="minorHAnsi"/>
      <w:b/>
      <w:color w:val="auto"/>
      <w:lang w:eastAsia="en-US"/>
    </w:rPr>
  </w:style>
  <w:style w:type="character" w:customStyle="1" w:styleId="1BieudoChar">
    <w:name w:val="1Bieudo Char"/>
    <w:basedOn w:val="DefaultParagraphFont"/>
    <w:link w:val="1Bieudo"/>
    <w:rsid w:val="00DB56BC"/>
    <w:rPr>
      <w:rFonts w:ascii="Times New Roman" w:hAnsi="Times New Roman" w:cs="Times New Roman"/>
      <w:iCs/>
      <w:sz w:val="28"/>
      <w:szCs w:val="28"/>
      <w:lang w:val="vi-VN"/>
    </w:rPr>
  </w:style>
  <w:style w:type="character" w:customStyle="1" w:styleId="1BangChar">
    <w:name w:val="1Bang Char"/>
    <w:basedOn w:val="DefaultParagraphFont"/>
    <w:link w:val="1Bang"/>
    <w:rsid w:val="00066E31"/>
    <w:rPr>
      <w:rFonts w:ascii="Times New Roman" w:hAnsi="Times New Roman" w:cs="Times New Roman"/>
      <w:b/>
      <w:sz w:val="28"/>
      <w:szCs w:val="28"/>
      <w:lang w:val="vi-VN"/>
    </w:rPr>
  </w:style>
  <w:style w:type="table" w:styleId="PlainTable1">
    <w:name w:val="Plain Table 1"/>
    <w:basedOn w:val="TableNormal"/>
    <w:uiPriority w:val="41"/>
    <w:rsid w:val="00890A97"/>
    <w:pPr>
      <w:spacing w:line="240" w:lineRule="auto"/>
    </w:pPr>
    <w:rPr>
      <w:rFonts w:ascii="Times New Roman" w:hAnsi="Times New Roman"/>
      <w:sz w:val="28"/>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890A97"/>
    <w:pPr>
      <w:spacing w:line="240" w:lineRule="auto"/>
    </w:pPr>
    <w:rPr>
      <w:rFonts w:ascii="Times New Roman" w:hAnsi="Times New Roman"/>
      <w:sz w:val="28"/>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890A97"/>
    <w:pPr>
      <w:spacing w:line="240" w:lineRule="auto"/>
    </w:pPr>
    <w:rPr>
      <w:rFonts w:ascii="Times New Roman" w:hAnsi="Times New Roman" w:cs="Times New Roman"/>
      <w:sz w:val="28"/>
      <w:szCs w:val="28"/>
      <w:lang w:val="vi-VN"/>
    </w:rPr>
  </w:style>
  <w:style w:type="paragraph" w:styleId="Caption">
    <w:name w:val="caption"/>
    <w:basedOn w:val="Normal"/>
    <w:next w:val="Normal"/>
    <w:uiPriority w:val="35"/>
    <w:unhideWhenUsed/>
    <w:qFormat/>
    <w:rsid w:val="007A0ADF"/>
    <w:pPr>
      <w:autoSpaceDE w:val="0"/>
      <w:autoSpaceDN w:val="0"/>
      <w:adjustRightInd w:val="0"/>
      <w:spacing w:after="200" w:line="240" w:lineRule="auto"/>
      <w:jc w:val="center"/>
    </w:pPr>
    <w:rPr>
      <w:rFonts w:eastAsiaTheme="minorHAnsi"/>
      <w:b/>
      <w:bCs/>
      <w:iCs/>
      <w:color w:val="auto"/>
      <w:szCs w:val="18"/>
      <w:lang w:eastAsia="en-US"/>
    </w:rPr>
  </w:style>
  <w:style w:type="character" w:styleId="Emphasis">
    <w:name w:val="Emphasis"/>
    <w:basedOn w:val="DefaultParagraphFont"/>
    <w:uiPriority w:val="20"/>
    <w:qFormat/>
    <w:rsid w:val="00075ECC"/>
    <w:rPr>
      <w:i/>
      <w:iCs/>
    </w:rPr>
  </w:style>
  <w:style w:type="table" w:styleId="PlainTable4">
    <w:name w:val="Plain Table 4"/>
    <w:basedOn w:val="TableNormal"/>
    <w:uiPriority w:val="44"/>
    <w:rsid w:val="00865F2C"/>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uiPriority w:val="9"/>
    <w:rsid w:val="005004B0"/>
    <w:rPr>
      <w:rFonts w:asciiTheme="majorHAnsi" w:eastAsiaTheme="majorEastAsia" w:hAnsiTheme="majorHAnsi" w:cstheme="majorBidi"/>
      <w:color w:val="1F4D78" w:themeColor="accent1" w:themeShade="7F"/>
      <w:sz w:val="28"/>
      <w:szCs w:val="28"/>
      <w:lang w:val="vi-VN" w:eastAsia="vi-VN"/>
    </w:rPr>
  </w:style>
  <w:style w:type="paragraph" w:customStyle="1" w:styleId="hnh">
    <w:name w:val="hình"/>
    <w:basedOn w:val="Normal"/>
    <w:link w:val="hnhChar"/>
    <w:qFormat/>
    <w:rsid w:val="0078217A"/>
    <w:pPr>
      <w:jc w:val="center"/>
    </w:pPr>
    <w:rPr>
      <w:b/>
      <w:i/>
      <w:color w:val="auto"/>
    </w:rPr>
  </w:style>
  <w:style w:type="character" w:customStyle="1" w:styleId="hnhChar">
    <w:name w:val="hình Char"/>
    <w:basedOn w:val="DefaultParagraphFont"/>
    <w:link w:val="hnh"/>
    <w:rsid w:val="0078217A"/>
    <w:rPr>
      <w:rFonts w:ascii="Times New Roman" w:eastAsia="Times New Roman" w:hAnsi="Times New Roman" w:cs="Times New Roman"/>
      <w:b/>
      <w:i/>
      <w:sz w:val="28"/>
      <w:szCs w:val="28"/>
      <w:lang w:val="vi-VN" w:eastAsia="vi-VN"/>
    </w:rPr>
  </w:style>
  <w:style w:type="numbering" w:customStyle="1" w:styleId="Style1">
    <w:name w:val="Style1"/>
    <w:uiPriority w:val="99"/>
    <w:rsid w:val="004C2462"/>
    <w:pPr>
      <w:numPr>
        <w:numId w:val="1"/>
      </w:numPr>
    </w:pPr>
  </w:style>
  <w:style w:type="numbering" w:customStyle="1" w:styleId="Style2">
    <w:name w:val="Style2"/>
    <w:uiPriority w:val="99"/>
    <w:rsid w:val="004C2462"/>
    <w:pPr>
      <w:numPr>
        <w:numId w:val="2"/>
      </w:numPr>
    </w:pPr>
  </w:style>
  <w:style w:type="character" w:customStyle="1" w:styleId="Heading7Char">
    <w:name w:val="Heading 7 Char"/>
    <w:basedOn w:val="DefaultParagraphFont"/>
    <w:link w:val="Heading7"/>
    <w:uiPriority w:val="9"/>
    <w:semiHidden/>
    <w:rsid w:val="00D46169"/>
    <w:rPr>
      <w:rFonts w:asciiTheme="majorHAnsi" w:eastAsiaTheme="majorEastAsia" w:hAnsiTheme="majorHAnsi" w:cstheme="majorBidi"/>
      <w:i/>
      <w:iCs/>
      <w:color w:val="1F4D78" w:themeColor="accent1" w:themeShade="7F"/>
      <w:sz w:val="28"/>
      <w:szCs w:val="28"/>
      <w:lang w:val="vi-VN" w:eastAsia="vi-VN"/>
    </w:rPr>
  </w:style>
  <w:style w:type="character" w:customStyle="1" w:styleId="Heading8Char">
    <w:name w:val="Heading 8 Char"/>
    <w:basedOn w:val="DefaultParagraphFont"/>
    <w:link w:val="Heading8"/>
    <w:uiPriority w:val="9"/>
    <w:semiHidden/>
    <w:rsid w:val="00D46169"/>
    <w:rPr>
      <w:rFonts w:asciiTheme="majorHAnsi" w:eastAsiaTheme="majorEastAsia" w:hAnsiTheme="majorHAnsi" w:cstheme="majorBidi"/>
      <w:color w:val="272727" w:themeColor="text1" w:themeTint="D8"/>
      <w:sz w:val="21"/>
      <w:szCs w:val="21"/>
      <w:lang w:val="vi-VN" w:eastAsia="vi-VN"/>
    </w:rPr>
  </w:style>
  <w:style w:type="character" w:customStyle="1" w:styleId="Heading9Char">
    <w:name w:val="Heading 9 Char"/>
    <w:basedOn w:val="DefaultParagraphFont"/>
    <w:link w:val="Heading9"/>
    <w:uiPriority w:val="9"/>
    <w:semiHidden/>
    <w:rsid w:val="00D46169"/>
    <w:rPr>
      <w:rFonts w:asciiTheme="majorHAnsi" w:eastAsiaTheme="majorEastAsia" w:hAnsiTheme="majorHAnsi" w:cstheme="majorBidi"/>
      <w:i/>
      <w:iCs/>
      <w:color w:val="272727" w:themeColor="text1" w:themeTint="D8"/>
      <w:sz w:val="21"/>
      <w:szCs w:val="21"/>
      <w:lang w:val="vi-VN" w:eastAsia="vi-VN"/>
    </w:rPr>
  </w:style>
  <w:style w:type="paragraph" w:customStyle="1" w:styleId="Bb">
    <w:name w:val="Bb"/>
    <w:basedOn w:val="Normal"/>
    <w:rsid w:val="001A436A"/>
    <w:pPr>
      <w:spacing w:after="120"/>
      <w:jc w:val="center"/>
    </w:pPr>
    <w:rPr>
      <w:b/>
      <w:color w:val="auto"/>
      <w:sz w:val="26"/>
      <w:szCs w:val="26"/>
      <w:lang w:val="pt-BR" w:eastAsia="en-US"/>
    </w:rPr>
  </w:style>
  <w:style w:type="paragraph" w:customStyle="1" w:styleId="04">
    <w:name w:val="04"/>
    <w:basedOn w:val="Normal"/>
    <w:rsid w:val="001A436A"/>
    <w:pPr>
      <w:spacing w:after="80" w:line="343" w:lineRule="auto"/>
    </w:pPr>
    <w:rPr>
      <w:b/>
      <w:i/>
      <w:color w:val="auto"/>
      <w:sz w:val="26"/>
      <w:szCs w:val="26"/>
      <w:lang w:val="es-ES_tradnl" w:eastAsia="en-US"/>
    </w:rPr>
  </w:style>
  <w:style w:type="paragraph" w:customStyle="1" w:styleId="B99">
    <w:name w:val="B99"/>
    <w:basedOn w:val="Normal"/>
    <w:qFormat/>
    <w:rsid w:val="009813BC"/>
    <w:pPr>
      <w:ind w:right="58"/>
      <w:jc w:val="center"/>
    </w:pPr>
    <w:rPr>
      <w:b/>
      <w:i/>
      <w:color w:val="auto"/>
      <w:lang w:val="pt-B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2908">
      <w:bodyDiv w:val="1"/>
      <w:marLeft w:val="0"/>
      <w:marRight w:val="0"/>
      <w:marTop w:val="0"/>
      <w:marBottom w:val="0"/>
      <w:divBdr>
        <w:top w:val="none" w:sz="0" w:space="0" w:color="auto"/>
        <w:left w:val="none" w:sz="0" w:space="0" w:color="auto"/>
        <w:bottom w:val="none" w:sz="0" w:space="0" w:color="auto"/>
        <w:right w:val="none" w:sz="0" w:space="0" w:color="auto"/>
      </w:divBdr>
    </w:div>
    <w:div w:id="75056217">
      <w:bodyDiv w:val="1"/>
      <w:marLeft w:val="0"/>
      <w:marRight w:val="0"/>
      <w:marTop w:val="0"/>
      <w:marBottom w:val="0"/>
      <w:divBdr>
        <w:top w:val="none" w:sz="0" w:space="0" w:color="auto"/>
        <w:left w:val="none" w:sz="0" w:space="0" w:color="auto"/>
        <w:bottom w:val="none" w:sz="0" w:space="0" w:color="auto"/>
        <w:right w:val="none" w:sz="0" w:space="0" w:color="auto"/>
      </w:divBdr>
    </w:div>
    <w:div w:id="88937972">
      <w:bodyDiv w:val="1"/>
      <w:marLeft w:val="0"/>
      <w:marRight w:val="0"/>
      <w:marTop w:val="0"/>
      <w:marBottom w:val="0"/>
      <w:divBdr>
        <w:top w:val="none" w:sz="0" w:space="0" w:color="auto"/>
        <w:left w:val="none" w:sz="0" w:space="0" w:color="auto"/>
        <w:bottom w:val="none" w:sz="0" w:space="0" w:color="auto"/>
        <w:right w:val="none" w:sz="0" w:space="0" w:color="auto"/>
      </w:divBdr>
    </w:div>
    <w:div w:id="89351821">
      <w:bodyDiv w:val="1"/>
      <w:marLeft w:val="0"/>
      <w:marRight w:val="0"/>
      <w:marTop w:val="0"/>
      <w:marBottom w:val="0"/>
      <w:divBdr>
        <w:top w:val="none" w:sz="0" w:space="0" w:color="auto"/>
        <w:left w:val="none" w:sz="0" w:space="0" w:color="auto"/>
        <w:bottom w:val="none" w:sz="0" w:space="0" w:color="auto"/>
        <w:right w:val="none" w:sz="0" w:space="0" w:color="auto"/>
      </w:divBdr>
    </w:div>
    <w:div w:id="151333745">
      <w:bodyDiv w:val="1"/>
      <w:marLeft w:val="0"/>
      <w:marRight w:val="0"/>
      <w:marTop w:val="0"/>
      <w:marBottom w:val="0"/>
      <w:divBdr>
        <w:top w:val="none" w:sz="0" w:space="0" w:color="auto"/>
        <w:left w:val="none" w:sz="0" w:space="0" w:color="auto"/>
        <w:bottom w:val="none" w:sz="0" w:space="0" w:color="auto"/>
        <w:right w:val="none" w:sz="0" w:space="0" w:color="auto"/>
      </w:divBdr>
    </w:div>
    <w:div w:id="164981839">
      <w:bodyDiv w:val="1"/>
      <w:marLeft w:val="0"/>
      <w:marRight w:val="0"/>
      <w:marTop w:val="0"/>
      <w:marBottom w:val="0"/>
      <w:divBdr>
        <w:top w:val="none" w:sz="0" w:space="0" w:color="auto"/>
        <w:left w:val="none" w:sz="0" w:space="0" w:color="auto"/>
        <w:bottom w:val="none" w:sz="0" w:space="0" w:color="auto"/>
        <w:right w:val="none" w:sz="0" w:space="0" w:color="auto"/>
      </w:divBdr>
    </w:div>
    <w:div w:id="177624973">
      <w:bodyDiv w:val="1"/>
      <w:marLeft w:val="0"/>
      <w:marRight w:val="0"/>
      <w:marTop w:val="0"/>
      <w:marBottom w:val="0"/>
      <w:divBdr>
        <w:top w:val="none" w:sz="0" w:space="0" w:color="auto"/>
        <w:left w:val="none" w:sz="0" w:space="0" w:color="auto"/>
        <w:bottom w:val="none" w:sz="0" w:space="0" w:color="auto"/>
        <w:right w:val="none" w:sz="0" w:space="0" w:color="auto"/>
      </w:divBdr>
    </w:div>
    <w:div w:id="253787081">
      <w:bodyDiv w:val="1"/>
      <w:marLeft w:val="0"/>
      <w:marRight w:val="0"/>
      <w:marTop w:val="0"/>
      <w:marBottom w:val="0"/>
      <w:divBdr>
        <w:top w:val="none" w:sz="0" w:space="0" w:color="auto"/>
        <w:left w:val="none" w:sz="0" w:space="0" w:color="auto"/>
        <w:bottom w:val="none" w:sz="0" w:space="0" w:color="auto"/>
        <w:right w:val="none" w:sz="0" w:space="0" w:color="auto"/>
      </w:divBdr>
    </w:div>
    <w:div w:id="264382182">
      <w:bodyDiv w:val="1"/>
      <w:marLeft w:val="0"/>
      <w:marRight w:val="0"/>
      <w:marTop w:val="0"/>
      <w:marBottom w:val="0"/>
      <w:divBdr>
        <w:top w:val="none" w:sz="0" w:space="0" w:color="auto"/>
        <w:left w:val="none" w:sz="0" w:space="0" w:color="auto"/>
        <w:bottom w:val="none" w:sz="0" w:space="0" w:color="auto"/>
        <w:right w:val="none" w:sz="0" w:space="0" w:color="auto"/>
      </w:divBdr>
    </w:div>
    <w:div w:id="301930953">
      <w:bodyDiv w:val="1"/>
      <w:marLeft w:val="0"/>
      <w:marRight w:val="0"/>
      <w:marTop w:val="0"/>
      <w:marBottom w:val="0"/>
      <w:divBdr>
        <w:top w:val="none" w:sz="0" w:space="0" w:color="auto"/>
        <w:left w:val="none" w:sz="0" w:space="0" w:color="auto"/>
        <w:bottom w:val="none" w:sz="0" w:space="0" w:color="auto"/>
        <w:right w:val="none" w:sz="0" w:space="0" w:color="auto"/>
      </w:divBdr>
    </w:div>
    <w:div w:id="369771665">
      <w:bodyDiv w:val="1"/>
      <w:marLeft w:val="0"/>
      <w:marRight w:val="0"/>
      <w:marTop w:val="0"/>
      <w:marBottom w:val="0"/>
      <w:divBdr>
        <w:top w:val="none" w:sz="0" w:space="0" w:color="auto"/>
        <w:left w:val="none" w:sz="0" w:space="0" w:color="auto"/>
        <w:bottom w:val="none" w:sz="0" w:space="0" w:color="auto"/>
        <w:right w:val="none" w:sz="0" w:space="0" w:color="auto"/>
      </w:divBdr>
    </w:div>
    <w:div w:id="372391701">
      <w:bodyDiv w:val="1"/>
      <w:marLeft w:val="0"/>
      <w:marRight w:val="0"/>
      <w:marTop w:val="0"/>
      <w:marBottom w:val="0"/>
      <w:divBdr>
        <w:top w:val="none" w:sz="0" w:space="0" w:color="auto"/>
        <w:left w:val="none" w:sz="0" w:space="0" w:color="auto"/>
        <w:bottom w:val="none" w:sz="0" w:space="0" w:color="auto"/>
        <w:right w:val="none" w:sz="0" w:space="0" w:color="auto"/>
      </w:divBdr>
    </w:div>
    <w:div w:id="381053414">
      <w:bodyDiv w:val="1"/>
      <w:marLeft w:val="0"/>
      <w:marRight w:val="0"/>
      <w:marTop w:val="0"/>
      <w:marBottom w:val="0"/>
      <w:divBdr>
        <w:top w:val="none" w:sz="0" w:space="0" w:color="auto"/>
        <w:left w:val="none" w:sz="0" w:space="0" w:color="auto"/>
        <w:bottom w:val="none" w:sz="0" w:space="0" w:color="auto"/>
        <w:right w:val="none" w:sz="0" w:space="0" w:color="auto"/>
      </w:divBdr>
    </w:div>
    <w:div w:id="471599234">
      <w:bodyDiv w:val="1"/>
      <w:marLeft w:val="0"/>
      <w:marRight w:val="0"/>
      <w:marTop w:val="0"/>
      <w:marBottom w:val="0"/>
      <w:divBdr>
        <w:top w:val="none" w:sz="0" w:space="0" w:color="auto"/>
        <w:left w:val="none" w:sz="0" w:space="0" w:color="auto"/>
        <w:bottom w:val="none" w:sz="0" w:space="0" w:color="auto"/>
        <w:right w:val="none" w:sz="0" w:space="0" w:color="auto"/>
      </w:divBdr>
    </w:div>
    <w:div w:id="505823932">
      <w:bodyDiv w:val="1"/>
      <w:marLeft w:val="0"/>
      <w:marRight w:val="0"/>
      <w:marTop w:val="0"/>
      <w:marBottom w:val="0"/>
      <w:divBdr>
        <w:top w:val="none" w:sz="0" w:space="0" w:color="auto"/>
        <w:left w:val="none" w:sz="0" w:space="0" w:color="auto"/>
        <w:bottom w:val="none" w:sz="0" w:space="0" w:color="auto"/>
        <w:right w:val="none" w:sz="0" w:space="0" w:color="auto"/>
      </w:divBdr>
    </w:div>
    <w:div w:id="542180669">
      <w:bodyDiv w:val="1"/>
      <w:marLeft w:val="0"/>
      <w:marRight w:val="0"/>
      <w:marTop w:val="0"/>
      <w:marBottom w:val="0"/>
      <w:divBdr>
        <w:top w:val="none" w:sz="0" w:space="0" w:color="auto"/>
        <w:left w:val="none" w:sz="0" w:space="0" w:color="auto"/>
        <w:bottom w:val="none" w:sz="0" w:space="0" w:color="auto"/>
        <w:right w:val="none" w:sz="0" w:space="0" w:color="auto"/>
      </w:divBdr>
    </w:div>
    <w:div w:id="566456769">
      <w:bodyDiv w:val="1"/>
      <w:marLeft w:val="0"/>
      <w:marRight w:val="0"/>
      <w:marTop w:val="0"/>
      <w:marBottom w:val="0"/>
      <w:divBdr>
        <w:top w:val="none" w:sz="0" w:space="0" w:color="auto"/>
        <w:left w:val="none" w:sz="0" w:space="0" w:color="auto"/>
        <w:bottom w:val="none" w:sz="0" w:space="0" w:color="auto"/>
        <w:right w:val="none" w:sz="0" w:space="0" w:color="auto"/>
      </w:divBdr>
    </w:div>
    <w:div w:id="572199968">
      <w:bodyDiv w:val="1"/>
      <w:marLeft w:val="0"/>
      <w:marRight w:val="0"/>
      <w:marTop w:val="0"/>
      <w:marBottom w:val="0"/>
      <w:divBdr>
        <w:top w:val="none" w:sz="0" w:space="0" w:color="auto"/>
        <w:left w:val="none" w:sz="0" w:space="0" w:color="auto"/>
        <w:bottom w:val="none" w:sz="0" w:space="0" w:color="auto"/>
        <w:right w:val="none" w:sz="0" w:space="0" w:color="auto"/>
      </w:divBdr>
    </w:div>
    <w:div w:id="649746514">
      <w:bodyDiv w:val="1"/>
      <w:marLeft w:val="0"/>
      <w:marRight w:val="0"/>
      <w:marTop w:val="0"/>
      <w:marBottom w:val="0"/>
      <w:divBdr>
        <w:top w:val="none" w:sz="0" w:space="0" w:color="auto"/>
        <w:left w:val="none" w:sz="0" w:space="0" w:color="auto"/>
        <w:bottom w:val="none" w:sz="0" w:space="0" w:color="auto"/>
        <w:right w:val="none" w:sz="0" w:space="0" w:color="auto"/>
      </w:divBdr>
    </w:div>
    <w:div w:id="688675007">
      <w:bodyDiv w:val="1"/>
      <w:marLeft w:val="0"/>
      <w:marRight w:val="0"/>
      <w:marTop w:val="0"/>
      <w:marBottom w:val="0"/>
      <w:divBdr>
        <w:top w:val="none" w:sz="0" w:space="0" w:color="auto"/>
        <w:left w:val="none" w:sz="0" w:space="0" w:color="auto"/>
        <w:bottom w:val="none" w:sz="0" w:space="0" w:color="auto"/>
        <w:right w:val="none" w:sz="0" w:space="0" w:color="auto"/>
      </w:divBdr>
    </w:div>
    <w:div w:id="741833115">
      <w:bodyDiv w:val="1"/>
      <w:marLeft w:val="0"/>
      <w:marRight w:val="0"/>
      <w:marTop w:val="0"/>
      <w:marBottom w:val="0"/>
      <w:divBdr>
        <w:top w:val="none" w:sz="0" w:space="0" w:color="auto"/>
        <w:left w:val="none" w:sz="0" w:space="0" w:color="auto"/>
        <w:bottom w:val="none" w:sz="0" w:space="0" w:color="auto"/>
        <w:right w:val="none" w:sz="0" w:space="0" w:color="auto"/>
      </w:divBdr>
    </w:div>
    <w:div w:id="818812282">
      <w:bodyDiv w:val="1"/>
      <w:marLeft w:val="0"/>
      <w:marRight w:val="0"/>
      <w:marTop w:val="0"/>
      <w:marBottom w:val="0"/>
      <w:divBdr>
        <w:top w:val="none" w:sz="0" w:space="0" w:color="auto"/>
        <w:left w:val="none" w:sz="0" w:space="0" w:color="auto"/>
        <w:bottom w:val="none" w:sz="0" w:space="0" w:color="auto"/>
        <w:right w:val="none" w:sz="0" w:space="0" w:color="auto"/>
      </w:divBdr>
    </w:div>
    <w:div w:id="885722655">
      <w:bodyDiv w:val="1"/>
      <w:marLeft w:val="0"/>
      <w:marRight w:val="0"/>
      <w:marTop w:val="0"/>
      <w:marBottom w:val="0"/>
      <w:divBdr>
        <w:top w:val="none" w:sz="0" w:space="0" w:color="auto"/>
        <w:left w:val="none" w:sz="0" w:space="0" w:color="auto"/>
        <w:bottom w:val="none" w:sz="0" w:space="0" w:color="auto"/>
        <w:right w:val="none" w:sz="0" w:space="0" w:color="auto"/>
      </w:divBdr>
    </w:div>
    <w:div w:id="909122078">
      <w:bodyDiv w:val="1"/>
      <w:marLeft w:val="0"/>
      <w:marRight w:val="0"/>
      <w:marTop w:val="0"/>
      <w:marBottom w:val="0"/>
      <w:divBdr>
        <w:top w:val="none" w:sz="0" w:space="0" w:color="auto"/>
        <w:left w:val="none" w:sz="0" w:space="0" w:color="auto"/>
        <w:bottom w:val="none" w:sz="0" w:space="0" w:color="auto"/>
        <w:right w:val="none" w:sz="0" w:space="0" w:color="auto"/>
      </w:divBdr>
    </w:div>
    <w:div w:id="935401218">
      <w:bodyDiv w:val="1"/>
      <w:marLeft w:val="0"/>
      <w:marRight w:val="0"/>
      <w:marTop w:val="0"/>
      <w:marBottom w:val="0"/>
      <w:divBdr>
        <w:top w:val="none" w:sz="0" w:space="0" w:color="auto"/>
        <w:left w:val="none" w:sz="0" w:space="0" w:color="auto"/>
        <w:bottom w:val="none" w:sz="0" w:space="0" w:color="auto"/>
        <w:right w:val="none" w:sz="0" w:space="0" w:color="auto"/>
      </w:divBdr>
    </w:div>
    <w:div w:id="953512199">
      <w:bodyDiv w:val="1"/>
      <w:marLeft w:val="0"/>
      <w:marRight w:val="0"/>
      <w:marTop w:val="0"/>
      <w:marBottom w:val="0"/>
      <w:divBdr>
        <w:top w:val="none" w:sz="0" w:space="0" w:color="auto"/>
        <w:left w:val="none" w:sz="0" w:space="0" w:color="auto"/>
        <w:bottom w:val="none" w:sz="0" w:space="0" w:color="auto"/>
        <w:right w:val="none" w:sz="0" w:space="0" w:color="auto"/>
      </w:divBdr>
    </w:div>
    <w:div w:id="956763155">
      <w:bodyDiv w:val="1"/>
      <w:marLeft w:val="0"/>
      <w:marRight w:val="0"/>
      <w:marTop w:val="0"/>
      <w:marBottom w:val="0"/>
      <w:divBdr>
        <w:top w:val="none" w:sz="0" w:space="0" w:color="auto"/>
        <w:left w:val="none" w:sz="0" w:space="0" w:color="auto"/>
        <w:bottom w:val="none" w:sz="0" w:space="0" w:color="auto"/>
        <w:right w:val="none" w:sz="0" w:space="0" w:color="auto"/>
      </w:divBdr>
    </w:div>
    <w:div w:id="970330383">
      <w:bodyDiv w:val="1"/>
      <w:marLeft w:val="0"/>
      <w:marRight w:val="0"/>
      <w:marTop w:val="0"/>
      <w:marBottom w:val="0"/>
      <w:divBdr>
        <w:top w:val="none" w:sz="0" w:space="0" w:color="auto"/>
        <w:left w:val="none" w:sz="0" w:space="0" w:color="auto"/>
        <w:bottom w:val="none" w:sz="0" w:space="0" w:color="auto"/>
        <w:right w:val="none" w:sz="0" w:space="0" w:color="auto"/>
      </w:divBdr>
    </w:div>
    <w:div w:id="1008219825">
      <w:bodyDiv w:val="1"/>
      <w:marLeft w:val="0"/>
      <w:marRight w:val="0"/>
      <w:marTop w:val="0"/>
      <w:marBottom w:val="0"/>
      <w:divBdr>
        <w:top w:val="none" w:sz="0" w:space="0" w:color="auto"/>
        <w:left w:val="none" w:sz="0" w:space="0" w:color="auto"/>
        <w:bottom w:val="none" w:sz="0" w:space="0" w:color="auto"/>
        <w:right w:val="none" w:sz="0" w:space="0" w:color="auto"/>
      </w:divBdr>
    </w:div>
    <w:div w:id="1033307265">
      <w:bodyDiv w:val="1"/>
      <w:marLeft w:val="0"/>
      <w:marRight w:val="0"/>
      <w:marTop w:val="0"/>
      <w:marBottom w:val="0"/>
      <w:divBdr>
        <w:top w:val="none" w:sz="0" w:space="0" w:color="auto"/>
        <w:left w:val="none" w:sz="0" w:space="0" w:color="auto"/>
        <w:bottom w:val="none" w:sz="0" w:space="0" w:color="auto"/>
        <w:right w:val="none" w:sz="0" w:space="0" w:color="auto"/>
      </w:divBdr>
    </w:div>
    <w:div w:id="1178303335">
      <w:bodyDiv w:val="1"/>
      <w:marLeft w:val="0"/>
      <w:marRight w:val="0"/>
      <w:marTop w:val="0"/>
      <w:marBottom w:val="0"/>
      <w:divBdr>
        <w:top w:val="none" w:sz="0" w:space="0" w:color="auto"/>
        <w:left w:val="none" w:sz="0" w:space="0" w:color="auto"/>
        <w:bottom w:val="none" w:sz="0" w:space="0" w:color="auto"/>
        <w:right w:val="none" w:sz="0" w:space="0" w:color="auto"/>
      </w:divBdr>
    </w:div>
    <w:div w:id="1181894671">
      <w:bodyDiv w:val="1"/>
      <w:marLeft w:val="0"/>
      <w:marRight w:val="0"/>
      <w:marTop w:val="0"/>
      <w:marBottom w:val="0"/>
      <w:divBdr>
        <w:top w:val="none" w:sz="0" w:space="0" w:color="auto"/>
        <w:left w:val="none" w:sz="0" w:space="0" w:color="auto"/>
        <w:bottom w:val="none" w:sz="0" w:space="0" w:color="auto"/>
        <w:right w:val="none" w:sz="0" w:space="0" w:color="auto"/>
      </w:divBdr>
      <w:divsChild>
        <w:div w:id="944767905">
          <w:marLeft w:val="0"/>
          <w:marRight w:val="0"/>
          <w:marTop w:val="0"/>
          <w:marBottom w:val="0"/>
          <w:divBdr>
            <w:top w:val="none" w:sz="0" w:space="0" w:color="auto"/>
            <w:left w:val="none" w:sz="0" w:space="0" w:color="auto"/>
            <w:bottom w:val="none" w:sz="0" w:space="0" w:color="auto"/>
            <w:right w:val="none" w:sz="0" w:space="0" w:color="auto"/>
          </w:divBdr>
          <w:divsChild>
            <w:div w:id="13745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812563">
      <w:bodyDiv w:val="1"/>
      <w:marLeft w:val="0"/>
      <w:marRight w:val="0"/>
      <w:marTop w:val="0"/>
      <w:marBottom w:val="0"/>
      <w:divBdr>
        <w:top w:val="none" w:sz="0" w:space="0" w:color="auto"/>
        <w:left w:val="none" w:sz="0" w:space="0" w:color="auto"/>
        <w:bottom w:val="none" w:sz="0" w:space="0" w:color="auto"/>
        <w:right w:val="none" w:sz="0" w:space="0" w:color="auto"/>
      </w:divBdr>
    </w:div>
    <w:div w:id="1350376752">
      <w:bodyDiv w:val="1"/>
      <w:marLeft w:val="0"/>
      <w:marRight w:val="0"/>
      <w:marTop w:val="0"/>
      <w:marBottom w:val="0"/>
      <w:divBdr>
        <w:top w:val="none" w:sz="0" w:space="0" w:color="auto"/>
        <w:left w:val="none" w:sz="0" w:space="0" w:color="auto"/>
        <w:bottom w:val="none" w:sz="0" w:space="0" w:color="auto"/>
        <w:right w:val="none" w:sz="0" w:space="0" w:color="auto"/>
      </w:divBdr>
    </w:div>
    <w:div w:id="1364744140">
      <w:bodyDiv w:val="1"/>
      <w:marLeft w:val="0"/>
      <w:marRight w:val="0"/>
      <w:marTop w:val="0"/>
      <w:marBottom w:val="0"/>
      <w:divBdr>
        <w:top w:val="none" w:sz="0" w:space="0" w:color="auto"/>
        <w:left w:val="none" w:sz="0" w:space="0" w:color="auto"/>
        <w:bottom w:val="none" w:sz="0" w:space="0" w:color="auto"/>
        <w:right w:val="none" w:sz="0" w:space="0" w:color="auto"/>
      </w:divBdr>
    </w:div>
    <w:div w:id="1476027568">
      <w:bodyDiv w:val="1"/>
      <w:marLeft w:val="0"/>
      <w:marRight w:val="0"/>
      <w:marTop w:val="0"/>
      <w:marBottom w:val="0"/>
      <w:divBdr>
        <w:top w:val="none" w:sz="0" w:space="0" w:color="auto"/>
        <w:left w:val="none" w:sz="0" w:space="0" w:color="auto"/>
        <w:bottom w:val="none" w:sz="0" w:space="0" w:color="auto"/>
        <w:right w:val="none" w:sz="0" w:space="0" w:color="auto"/>
      </w:divBdr>
    </w:div>
    <w:div w:id="1476993697">
      <w:bodyDiv w:val="1"/>
      <w:marLeft w:val="0"/>
      <w:marRight w:val="0"/>
      <w:marTop w:val="0"/>
      <w:marBottom w:val="0"/>
      <w:divBdr>
        <w:top w:val="none" w:sz="0" w:space="0" w:color="auto"/>
        <w:left w:val="none" w:sz="0" w:space="0" w:color="auto"/>
        <w:bottom w:val="none" w:sz="0" w:space="0" w:color="auto"/>
        <w:right w:val="none" w:sz="0" w:space="0" w:color="auto"/>
      </w:divBdr>
    </w:div>
    <w:div w:id="1494101356">
      <w:bodyDiv w:val="1"/>
      <w:marLeft w:val="0"/>
      <w:marRight w:val="0"/>
      <w:marTop w:val="0"/>
      <w:marBottom w:val="0"/>
      <w:divBdr>
        <w:top w:val="none" w:sz="0" w:space="0" w:color="auto"/>
        <w:left w:val="none" w:sz="0" w:space="0" w:color="auto"/>
        <w:bottom w:val="none" w:sz="0" w:space="0" w:color="auto"/>
        <w:right w:val="none" w:sz="0" w:space="0" w:color="auto"/>
      </w:divBdr>
    </w:div>
    <w:div w:id="1558124792">
      <w:bodyDiv w:val="1"/>
      <w:marLeft w:val="0"/>
      <w:marRight w:val="0"/>
      <w:marTop w:val="0"/>
      <w:marBottom w:val="0"/>
      <w:divBdr>
        <w:top w:val="none" w:sz="0" w:space="0" w:color="auto"/>
        <w:left w:val="none" w:sz="0" w:space="0" w:color="auto"/>
        <w:bottom w:val="none" w:sz="0" w:space="0" w:color="auto"/>
        <w:right w:val="none" w:sz="0" w:space="0" w:color="auto"/>
      </w:divBdr>
    </w:div>
    <w:div w:id="1571890531">
      <w:bodyDiv w:val="1"/>
      <w:marLeft w:val="0"/>
      <w:marRight w:val="0"/>
      <w:marTop w:val="0"/>
      <w:marBottom w:val="0"/>
      <w:divBdr>
        <w:top w:val="none" w:sz="0" w:space="0" w:color="auto"/>
        <w:left w:val="none" w:sz="0" w:space="0" w:color="auto"/>
        <w:bottom w:val="none" w:sz="0" w:space="0" w:color="auto"/>
        <w:right w:val="none" w:sz="0" w:space="0" w:color="auto"/>
      </w:divBdr>
      <w:divsChild>
        <w:div w:id="208886289">
          <w:marLeft w:val="0"/>
          <w:marRight w:val="0"/>
          <w:marTop w:val="0"/>
          <w:marBottom w:val="0"/>
          <w:divBdr>
            <w:top w:val="none" w:sz="0" w:space="0" w:color="auto"/>
            <w:left w:val="none" w:sz="0" w:space="0" w:color="auto"/>
            <w:bottom w:val="none" w:sz="0" w:space="0" w:color="auto"/>
            <w:right w:val="none" w:sz="0" w:space="0" w:color="auto"/>
          </w:divBdr>
          <w:divsChild>
            <w:div w:id="115606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4867">
      <w:bodyDiv w:val="1"/>
      <w:marLeft w:val="0"/>
      <w:marRight w:val="0"/>
      <w:marTop w:val="0"/>
      <w:marBottom w:val="0"/>
      <w:divBdr>
        <w:top w:val="none" w:sz="0" w:space="0" w:color="auto"/>
        <w:left w:val="none" w:sz="0" w:space="0" w:color="auto"/>
        <w:bottom w:val="none" w:sz="0" w:space="0" w:color="auto"/>
        <w:right w:val="none" w:sz="0" w:space="0" w:color="auto"/>
      </w:divBdr>
    </w:div>
    <w:div w:id="1650668611">
      <w:bodyDiv w:val="1"/>
      <w:marLeft w:val="0"/>
      <w:marRight w:val="0"/>
      <w:marTop w:val="0"/>
      <w:marBottom w:val="0"/>
      <w:divBdr>
        <w:top w:val="none" w:sz="0" w:space="0" w:color="auto"/>
        <w:left w:val="none" w:sz="0" w:space="0" w:color="auto"/>
        <w:bottom w:val="none" w:sz="0" w:space="0" w:color="auto"/>
        <w:right w:val="none" w:sz="0" w:space="0" w:color="auto"/>
      </w:divBdr>
    </w:div>
    <w:div w:id="1822382938">
      <w:bodyDiv w:val="1"/>
      <w:marLeft w:val="0"/>
      <w:marRight w:val="0"/>
      <w:marTop w:val="0"/>
      <w:marBottom w:val="0"/>
      <w:divBdr>
        <w:top w:val="none" w:sz="0" w:space="0" w:color="auto"/>
        <w:left w:val="none" w:sz="0" w:space="0" w:color="auto"/>
        <w:bottom w:val="none" w:sz="0" w:space="0" w:color="auto"/>
        <w:right w:val="none" w:sz="0" w:space="0" w:color="auto"/>
      </w:divBdr>
    </w:div>
    <w:div w:id="2079785766">
      <w:bodyDiv w:val="1"/>
      <w:marLeft w:val="0"/>
      <w:marRight w:val="0"/>
      <w:marTop w:val="0"/>
      <w:marBottom w:val="0"/>
      <w:divBdr>
        <w:top w:val="none" w:sz="0" w:space="0" w:color="auto"/>
        <w:left w:val="none" w:sz="0" w:space="0" w:color="auto"/>
        <w:bottom w:val="none" w:sz="0" w:space="0" w:color="auto"/>
        <w:right w:val="none" w:sz="0" w:space="0" w:color="auto"/>
      </w:divBdr>
    </w:div>
    <w:div w:id="2101951886">
      <w:bodyDiv w:val="1"/>
      <w:marLeft w:val="0"/>
      <w:marRight w:val="0"/>
      <w:marTop w:val="0"/>
      <w:marBottom w:val="0"/>
      <w:divBdr>
        <w:top w:val="none" w:sz="0" w:space="0" w:color="auto"/>
        <w:left w:val="none" w:sz="0" w:space="0" w:color="auto"/>
        <w:bottom w:val="none" w:sz="0" w:space="0" w:color="auto"/>
        <w:right w:val="none" w:sz="0" w:space="0" w:color="auto"/>
      </w:divBdr>
      <w:divsChild>
        <w:div w:id="1870988556">
          <w:marLeft w:val="0"/>
          <w:marRight w:val="0"/>
          <w:marTop w:val="0"/>
          <w:marBottom w:val="0"/>
          <w:divBdr>
            <w:top w:val="none" w:sz="0" w:space="0" w:color="auto"/>
            <w:left w:val="none" w:sz="0" w:space="0" w:color="auto"/>
            <w:bottom w:val="none" w:sz="0" w:space="0" w:color="auto"/>
            <w:right w:val="none" w:sz="0" w:space="0" w:color="auto"/>
          </w:divBdr>
          <w:divsChild>
            <w:div w:id="459301414">
              <w:marLeft w:val="0"/>
              <w:marRight w:val="0"/>
              <w:marTop w:val="0"/>
              <w:marBottom w:val="0"/>
              <w:divBdr>
                <w:top w:val="none" w:sz="0" w:space="0" w:color="auto"/>
                <w:left w:val="none" w:sz="0" w:space="0" w:color="auto"/>
                <w:bottom w:val="none" w:sz="0" w:space="0" w:color="auto"/>
                <w:right w:val="none" w:sz="0" w:space="0" w:color="auto"/>
              </w:divBdr>
            </w:div>
          </w:divsChild>
        </w:div>
        <w:div w:id="979457140">
          <w:marLeft w:val="0"/>
          <w:marRight w:val="0"/>
          <w:marTop w:val="0"/>
          <w:marBottom w:val="0"/>
          <w:divBdr>
            <w:top w:val="none" w:sz="0" w:space="0" w:color="auto"/>
            <w:left w:val="none" w:sz="0" w:space="0" w:color="auto"/>
            <w:bottom w:val="none" w:sz="0" w:space="0" w:color="auto"/>
            <w:right w:val="none" w:sz="0" w:space="0" w:color="auto"/>
          </w:divBdr>
          <w:divsChild>
            <w:div w:id="9772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56535/jmpm.v50i1.1006"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F9923B5-86F4-452C-A538-A2B003A6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5320</Words>
  <Characters>30326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Thiện Nguyễn Trương</dc:creator>
  <cp:keywords/>
  <dc:description/>
  <cp:lastModifiedBy>Thiện Nguyễn Trương</cp:lastModifiedBy>
  <cp:revision>2</cp:revision>
  <cp:lastPrinted>2025-03-26T10:02:00Z</cp:lastPrinted>
  <dcterms:created xsi:type="dcterms:W3CDTF">2025-09-18T23:47:00Z</dcterms:created>
  <dcterms:modified xsi:type="dcterms:W3CDTF">2025-09-18T23:47:00Z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6cf71a47a3293bbc2decf9126a61bc3662d2e343baa71827ffb21bca06fa179b</vt:lpwstr>
  </property>
</Properties>
</file>